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175B2" w14:textId="331664B9" w:rsidR="00466CD0" w:rsidRPr="00466CD0" w:rsidRDefault="00466CD0" w:rsidP="00466CD0">
      <w:pPr>
        <w:spacing w:after="120"/>
        <w:ind w:left="1985" w:hanging="1985"/>
        <w:jc w:val="both"/>
        <w:rPr>
          <w:rFonts w:ascii="Arial" w:eastAsia="SimSun" w:hAnsi="Arial" w:cs="Arial"/>
          <w:b/>
          <w:sz w:val="24"/>
          <w:szCs w:val="24"/>
          <w:lang w:eastAsia="zh-CN"/>
        </w:rPr>
      </w:pPr>
      <w:r w:rsidRPr="00466CD0">
        <w:rPr>
          <w:rFonts w:ascii="Arial" w:eastAsia="SimSun" w:hAnsi="Arial" w:cs="Arial"/>
          <w:b/>
          <w:sz w:val="24"/>
          <w:szCs w:val="24"/>
          <w:lang w:eastAsia="zh-CN"/>
        </w:rPr>
        <w:t>3GPP TSG-RAN WG4 Meeting #117</w:t>
      </w:r>
      <w:r w:rsidRPr="00466CD0">
        <w:rPr>
          <w:rFonts w:ascii="Arial" w:eastAsia="SimSun" w:hAnsi="Arial" w:cs="Arial"/>
          <w:b/>
          <w:sz w:val="24"/>
          <w:szCs w:val="24"/>
          <w:lang w:eastAsia="zh-CN"/>
        </w:rPr>
        <w:tab/>
      </w:r>
      <w:r w:rsidRPr="00466CD0">
        <w:rPr>
          <w:rFonts w:ascii="Arial" w:eastAsia="SimSun" w:hAnsi="Arial" w:cs="Arial"/>
          <w:b/>
          <w:sz w:val="24"/>
          <w:szCs w:val="24"/>
          <w:lang w:eastAsia="zh-CN"/>
        </w:rPr>
        <w:tab/>
      </w:r>
      <w:r w:rsidRPr="00466CD0">
        <w:rPr>
          <w:rFonts w:ascii="Arial" w:eastAsia="SimSun" w:hAnsi="Arial" w:cs="Arial"/>
          <w:b/>
          <w:sz w:val="24"/>
          <w:szCs w:val="24"/>
          <w:lang w:eastAsia="zh-CN"/>
        </w:rPr>
        <w:tab/>
      </w:r>
      <w:r w:rsidRPr="00466CD0">
        <w:rPr>
          <w:rFonts w:ascii="Arial" w:eastAsia="SimSun" w:hAnsi="Arial" w:cs="Arial"/>
          <w:b/>
          <w:sz w:val="24"/>
          <w:szCs w:val="24"/>
          <w:lang w:eastAsia="zh-CN"/>
        </w:rPr>
        <w:tab/>
      </w:r>
      <w:r>
        <w:rPr>
          <w:rFonts w:ascii="Arial" w:eastAsia="SimSun" w:hAnsi="Arial" w:cs="Arial"/>
          <w:b/>
          <w:sz w:val="24"/>
          <w:szCs w:val="24"/>
          <w:lang w:eastAsia="zh-CN"/>
        </w:rPr>
        <w:t xml:space="preserve">                           </w:t>
      </w:r>
      <w:r w:rsidR="00090E3D" w:rsidRPr="00090E3D">
        <w:rPr>
          <w:rFonts w:ascii="Arial" w:eastAsia="SimSun" w:hAnsi="Arial" w:cs="Arial"/>
          <w:b/>
          <w:sz w:val="24"/>
          <w:szCs w:val="24"/>
          <w:lang w:eastAsia="zh-CN"/>
        </w:rPr>
        <w:t>R4-2522042</w:t>
      </w:r>
    </w:p>
    <w:p w14:paraId="72DDC6CC" w14:textId="77777777" w:rsidR="00466CD0" w:rsidRDefault="00466CD0" w:rsidP="00466CD0">
      <w:pPr>
        <w:spacing w:after="120"/>
        <w:ind w:left="1985" w:hanging="1985"/>
        <w:jc w:val="both"/>
        <w:rPr>
          <w:rFonts w:ascii="Arial" w:eastAsia="SimSun" w:hAnsi="Arial" w:cs="Arial"/>
          <w:b/>
          <w:sz w:val="24"/>
          <w:szCs w:val="24"/>
          <w:lang w:eastAsia="zh-CN"/>
        </w:rPr>
      </w:pPr>
      <w:r w:rsidRPr="00466CD0">
        <w:rPr>
          <w:rFonts w:ascii="Arial" w:eastAsia="SimSun" w:hAnsi="Arial" w:cs="Arial"/>
          <w:b/>
          <w:sz w:val="24"/>
          <w:szCs w:val="24"/>
          <w:lang w:eastAsia="zh-CN"/>
        </w:rPr>
        <w:t>Dallas, USA, Nov. 17-21, 2025</w:t>
      </w:r>
    </w:p>
    <w:p w14:paraId="19B9D621" w14:textId="0CE97297" w:rsidR="00DD0FC1" w:rsidRPr="00067882" w:rsidRDefault="00DD0FC1" w:rsidP="00466CD0">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40F18C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6429A2">
        <w:rPr>
          <w:rFonts w:ascii="Arial" w:hAnsi="Arial" w:cs="Arial"/>
          <w:bCs/>
          <w:lang w:val="en-US"/>
        </w:rPr>
        <w:t>F</w:t>
      </w:r>
      <w:r w:rsidR="00466CD0">
        <w:rPr>
          <w:rFonts w:ascii="Arial" w:hAnsi="Arial" w:cs="Arial"/>
          <w:bCs/>
          <w:lang w:val="en-US"/>
        </w:rPr>
        <w:t>urther analysis on</w:t>
      </w:r>
      <w:r w:rsidR="00DF05CD">
        <w:rPr>
          <w:rFonts w:ascii="Arial" w:hAnsi="Arial" w:cs="Arial"/>
          <w:b/>
          <w:lang w:val="en-US"/>
        </w:rPr>
        <w:t xml:space="preserve"> </w:t>
      </w:r>
      <w:r w:rsidR="00466CD0">
        <w:rPr>
          <w:rFonts w:ascii="Arial" w:hAnsi="Arial" w:cs="Arial"/>
          <w:sz w:val="21"/>
          <w:szCs w:val="21"/>
          <w:lang w:val="en-US"/>
        </w:rPr>
        <w:t>c</w:t>
      </w:r>
      <w:r w:rsidR="00977A0D">
        <w:rPr>
          <w:rFonts w:ascii="Arial" w:hAnsi="Arial" w:cs="Arial"/>
          <w:sz w:val="21"/>
          <w:szCs w:val="21"/>
          <w:lang w:val="en-US"/>
        </w:rPr>
        <w:t xml:space="preserve">oexistence </w:t>
      </w:r>
      <w:r w:rsidR="00DF05CD">
        <w:rPr>
          <w:rFonts w:ascii="Arial" w:hAnsi="Arial" w:cs="Arial"/>
          <w:sz w:val="21"/>
          <w:szCs w:val="21"/>
          <w:lang w:val="en-US"/>
        </w:rPr>
        <w:t>of</w:t>
      </w:r>
      <w:r w:rsidR="00977A0D">
        <w:rPr>
          <w:rFonts w:ascii="Arial" w:hAnsi="Arial" w:cs="Arial"/>
          <w:sz w:val="21"/>
          <w:szCs w:val="21"/>
          <w:lang w:val="en-US"/>
        </w:rPr>
        <w:t xml:space="preserve"> outdoor AIoT system</w:t>
      </w:r>
      <w:r w:rsidR="00CF1AD8">
        <w:rPr>
          <w:rFonts w:ascii="Arial" w:hAnsi="Arial" w:cs="Arial"/>
          <w:sz w:val="21"/>
          <w:szCs w:val="21"/>
          <w:lang w:val="en-US"/>
        </w:rPr>
        <w:t xml:space="preserve"> </w:t>
      </w:r>
    </w:p>
    <w:p w14:paraId="1F00BD00" w14:textId="3E545EA4"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B4268B">
        <w:rPr>
          <w:rFonts w:ascii="Arial" w:hAnsi="Arial" w:cs="Arial"/>
        </w:rPr>
        <w:t>7.</w:t>
      </w:r>
      <w:r w:rsidR="00154DB6">
        <w:rPr>
          <w:rFonts w:ascii="Arial" w:hAnsi="Arial" w:cs="Arial"/>
        </w:rPr>
        <w:t>11.3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45723AD8" w14:textId="34355523" w:rsidR="00740D7E" w:rsidRDefault="00324E61" w:rsidP="009918C2">
      <w:pPr>
        <w:pBdr>
          <w:bottom w:val="single" w:sz="4" w:space="0" w:color="auto"/>
        </w:pBdr>
        <w:jc w:val="both"/>
        <w:rPr>
          <w:iCs/>
          <w:lang w:val="en-US"/>
        </w:rPr>
      </w:pPr>
      <w:r>
        <w:rPr>
          <w:iCs/>
          <w:lang w:val="en-US"/>
        </w:rPr>
        <w:t xml:space="preserve">The </w:t>
      </w:r>
      <w:r w:rsidR="006429A2">
        <w:rPr>
          <w:iCs/>
          <w:lang w:val="en-US"/>
        </w:rPr>
        <w:t xml:space="preserve">simulation assumption on co-existence study of Rel-20 outdoor AIoT deivces has been agreed in RAN4#116bis [1], and in this contribution, we share some analysis based on the initial simulation results we have obtained. </w:t>
      </w:r>
    </w:p>
    <w:p w14:paraId="67CEE70B" w14:textId="77777777" w:rsidR="002A468B" w:rsidRPr="00654F8E" w:rsidRDefault="002A468B" w:rsidP="009918C2">
      <w:pPr>
        <w:pBdr>
          <w:bottom w:val="single" w:sz="4" w:space="0" w:color="auto"/>
        </w:pBdr>
        <w:jc w:val="both"/>
        <w:rPr>
          <w:iCs/>
          <w:lang w:val="en-US"/>
        </w:rPr>
      </w:pPr>
    </w:p>
    <w:p w14:paraId="7D5AC6F4" w14:textId="496C45CB" w:rsidR="00097300" w:rsidRDefault="003950D2" w:rsidP="00D00C7F">
      <w:pPr>
        <w:pStyle w:val="Heading1"/>
        <w:numPr>
          <w:ilvl w:val="0"/>
          <w:numId w:val="8"/>
        </w:numPr>
        <w:jc w:val="both"/>
        <w:rPr>
          <w:bCs/>
          <w:lang w:val="en-US"/>
        </w:rPr>
      </w:pPr>
      <w:bookmarkStart w:id="0" w:name="_Hlk8895418"/>
      <w:r>
        <w:rPr>
          <w:bCs/>
          <w:lang w:val="en-US"/>
        </w:rPr>
        <w:t xml:space="preserve">Study </w:t>
      </w:r>
      <w:r w:rsidR="00810D26">
        <w:rPr>
          <w:bCs/>
          <w:lang w:val="en-US"/>
        </w:rPr>
        <w:t xml:space="preserve">cases </w:t>
      </w:r>
      <w:r>
        <w:rPr>
          <w:bCs/>
          <w:lang w:val="en-US"/>
        </w:rPr>
        <w:t>on the coexistence scenario for AIoT</w:t>
      </w:r>
    </w:p>
    <w:p w14:paraId="618AF47F" w14:textId="77777777" w:rsidR="001239C3" w:rsidRDefault="007B0DBC" w:rsidP="00097300">
      <w:pPr>
        <w:pStyle w:val="BodyText"/>
        <w:rPr>
          <w:lang w:val="en-US"/>
        </w:rPr>
      </w:pPr>
      <w:r>
        <w:rPr>
          <w:lang w:val="en-US"/>
        </w:rPr>
        <w:t>In total, 16 coexistence study cases were agreed in RAN4#116bis to be evaluated as shown below in Tabl.1. In this contribution we particularly focus on device C in standalone deployment scenario</w:t>
      </w:r>
      <w:r w:rsidR="001239C3">
        <w:rPr>
          <w:lang w:val="en-US"/>
        </w:rPr>
        <w:t xml:space="preserve">. </w:t>
      </w:r>
    </w:p>
    <w:tbl>
      <w:tblPr>
        <w:tblW w:w="5000" w:type="pct"/>
        <w:tblLook w:val="04A0" w:firstRow="1" w:lastRow="0" w:firstColumn="1" w:lastColumn="0" w:noHBand="0" w:noVBand="1"/>
      </w:tblPr>
      <w:tblGrid>
        <w:gridCol w:w="1954"/>
        <w:gridCol w:w="1311"/>
        <w:gridCol w:w="1855"/>
        <w:gridCol w:w="1839"/>
        <w:gridCol w:w="1246"/>
        <w:gridCol w:w="1640"/>
      </w:tblGrid>
      <w:tr w:rsidR="007B0DBC" w:rsidRPr="007B0DBC" w14:paraId="30EF972C" w14:textId="77777777" w:rsidTr="001239C3">
        <w:trPr>
          <w:trHeight w:val="700"/>
        </w:trPr>
        <w:tc>
          <w:tcPr>
            <w:tcW w:w="992" w:type="pct"/>
            <w:tcBorders>
              <w:top w:val="single" w:sz="8" w:space="0" w:color="auto"/>
              <w:left w:val="single" w:sz="8" w:space="0" w:color="auto"/>
              <w:bottom w:val="single" w:sz="8" w:space="0" w:color="auto"/>
              <w:right w:val="single" w:sz="8" w:space="0" w:color="auto"/>
            </w:tcBorders>
            <w:shd w:val="clear" w:color="000000" w:fill="D0CECE"/>
            <w:vAlign w:val="center"/>
            <w:hideMark/>
          </w:tcPr>
          <w:p w14:paraId="10D57CFA" w14:textId="68168B47" w:rsidR="007B0DBC" w:rsidRPr="007B0DBC" w:rsidRDefault="001239C3" w:rsidP="007B0DBC">
            <w:pPr>
              <w:spacing w:after="0"/>
              <w:jc w:val="center"/>
              <w:rPr>
                <w:rFonts w:ascii="Arial" w:hAnsi="Arial" w:cs="Arial"/>
                <w:b/>
                <w:bCs/>
                <w:color w:val="000000"/>
                <w:sz w:val="18"/>
                <w:szCs w:val="18"/>
                <w:lang w:val="en-US" w:eastAsia="zh-CN"/>
              </w:rPr>
            </w:pPr>
            <w:r>
              <w:rPr>
                <w:lang w:val="en-US"/>
              </w:rPr>
              <w:t xml:space="preserve"> </w:t>
            </w:r>
            <w:r w:rsidR="007B0DBC" w:rsidRPr="007B0DBC">
              <w:rPr>
                <w:rFonts w:ascii="Arial" w:hAnsi="Arial" w:cs="Arial"/>
                <w:b/>
                <w:bCs/>
                <w:color w:val="000000"/>
                <w:sz w:val="18"/>
                <w:szCs w:val="18"/>
                <w:lang w:val="en-US" w:eastAsia="zh-CN"/>
              </w:rPr>
              <w:t>Operation mode</w:t>
            </w:r>
          </w:p>
        </w:tc>
        <w:tc>
          <w:tcPr>
            <w:tcW w:w="666" w:type="pct"/>
            <w:tcBorders>
              <w:top w:val="single" w:sz="8" w:space="0" w:color="auto"/>
              <w:left w:val="nil"/>
              <w:bottom w:val="single" w:sz="8" w:space="0" w:color="auto"/>
              <w:right w:val="single" w:sz="8" w:space="0" w:color="auto"/>
            </w:tcBorders>
            <w:shd w:val="clear" w:color="000000" w:fill="D0CECE"/>
            <w:vAlign w:val="center"/>
            <w:hideMark/>
          </w:tcPr>
          <w:p w14:paraId="69284F65" w14:textId="77777777" w:rsidR="007B0DBC" w:rsidRPr="007B0DBC" w:rsidRDefault="007B0DBC" w:rsidP="007B0DBC">
            <w:pPr>
              <w:spacing w:after="0"/>
              <w:jc w:val="center"/>
              <w:rPr>
                <w:rFonts w:ascii="Arial" w:hAnsi="Arial" w:cs="Arial"/>
                <w:b/>
                <w:bCs/>
                <w:color w:val="000000"/>
                <w:sz w:val="18"/>
                <w:szCs w:val="18"/>
                <w:lang w:val="en-US" w:eastAsia="zh-CN"/>
              </w:rPr>
            </w:pPr>
            <w:r w:rsidRPr="007B0DBC">
              <w:rPr>
                <w:rFonts w:ascii="Arial" w:hAnsi="Arial" w:cs="Arial"/>
                <w:b/>
                <w:bCs/>
                <w:color w:val="000000"/>
                <w:sz w:val="18"/>
                <w:szCs w:val="18"/>
                <w:lang w:val="en-US" w:eastAsia="zh-CN"/>
              </w:rPr>
              <w:t>Device type</w:t>
            </w:r>
          </w:p>
        </w:tc>
        <w:tc>
          <w:tcPr>
            <w:tcW w:w="942" w:type="pct"/>
            <w:tcBorders>
              <w:top w:val="single" w:sz="8" w:space="0" w:color="auto"/>
              <w:left w:val="nil"/>
              <w:bottom w:val="single" w:sz="8" w:space="0" w:color="auto"/>
              <w:right w:val="single" w:sz="8" w:space="0" w:color="auto"/>
            </w:tcBorders>
            <w:shd w:val="clear" w:color="000000" w:fill="D0CECE"/>
            <w:vAlign w:val="center"/>
            <w:hideMark/>
          </w:tcPr>
          <w:p w14:paraId="4A7AC7F5" w14:textId="77777777" w:rsidR="007B0DBC" w:rsidRPr="007B0DBC" w:rsidRDefault="007B0DBC" w:rsidP="007B0DBC">
            <w:pPr>
              <w:spacing w:after="0"/>
              <w:jc w:val="center"/>
              <w:rPr>
                <w:rFonts w:ascii="Arial" w:hAnsi="Arial" w:cs="Arial"/>
                <w:b/>
                <w:bCs/>
                <w:color w:val="000000"/>
                <w:sz w:val="18"/>
                <w:szCs w:val="18"/>
                <w:lang w:val="en-US" w:eastAsia="zh-CN"/>
              </w:rPr>
            </w:pPr>
            <w:r w:rsidRPr="007B0DBC">
              <w:rPr>
                <w:rFonts w:ascii="Arial" w:hAnsi="Arial" w:cs="Arial"/>
                <w:b/>
                <w:bCs/>
                <w:color w:val="000000"/>
                <w:sz w:val="18"/>
                <w:szCs w:val="18"/>
                <w:lang w:val="en-US" w:eastAsia="zh-CN"/>
              </w:rPr>
              <w:t xml:space="preserve">Evaluation case number </w:t>
            </w:r>
          </w:p>
        </w:tc>
        <w:tc>
          <w:tcPr>
            <w:tcW w:w="934" w:type="pct"/>
            <w:tcBorders>
              <w:top w:val="single" w:sz="8" w:space="0" w:color="auto"/>
              <w:left w:val="nil"/>
              <w:bottom w:val="single" w:sz="8" w:space="0" w:color="auto"/>
              <w:right w:val="single" w:sz="8" w:space="0" w:color="auto"/>
            </w:tcBorders>
            <w:shd w:val="clear" w:color="000000" w:fill="D0CECE"/>
            <w:vAlign w:val="center"/>
            <w:hideMark/>
          </w:tcPr>
          <w:p w14:paraId="6355DBEB" w14:textId="77777777" w:rsidR="007B0DBC" w:rsidRPr="007B0DBC" w:rsidRDefault="007B0DBC" w:rsidP="007B0DBC">
            <w:pPr>
              <w:spacing w:after="0"/>
              <w:jc w:val="center"/>
              <w:rPr>
                <w:rFonts w:ascii="Arial" w:hAnsi="Arial" w:cs="Arial"/>
                <w:b/>
                <w:bCs/>
                <w:color w:val="000000"/>
                <w:sz w:val="18"/>
                <w:szCs w:val="18"/>
                <w:lang w:val="en-US" w:eastAsia="zh-CN"/>
              </w:rPr>
            </w:pPr>
            <w:r w:rsidRPr="007B0DBC">
              <w:rPr>
                <w:rFonts w:ascii="Arial" w:hAnsi="Arial" w:cs="Arial"/>
                <w:b/>
                <w:bCs/>
                <w:color w:val="000000"/>
                <w:sz w:val="18"/>
                <w:szCs w:val="18"/>
                <w:lang w:val="en-US" w:eastAsia="zh-CN"/>
              </w:rPr>
              <w:t>Aggressor</w:t>
            </w:r>
          </w:p>
        </w:tc>
        <w:tc>
          <w:tcPr>
            <w:tcW w:w="633" w:type="pct"/>
            <w:tcBorders>
              <w:top w:val="single" w:sz="8" w:space="0" w:color="auto"/>
              <w:left w:val="nil"/>
              <w:bottom w:val="single" w:sz="8" w:space="0" w:color="auto"/>
              <w:right w:val="single" w:sz="8" w:space="0" w:color="auto"/>
            </w:tcBorders>
            <w:shd w:val="clear" w:color="000000" w:fill="D0CECE"/>
            <w:vAlign w:val="center"/>
            <w:hideMark/>
          </w:tcPr>
          <w:p w14:paraId="6FE29F02" w14:textId="77777777" w:rsidR="007B0DBC" w:rsidRPr="007B0DBC" w:rsidRDefault="007B0DBC" w:rsidP="007B0DBC">
            <w:pPr>
              <w:spacing w:after="0"/>
              <w:jc w:val="center"/>
              <w:rPr>
                <w:rFonts w:ascii="Arial" w:hAnsi="Arial" w:cs="Arial"/>
                <w:b/>
                <w:bCs/>
                <w:color w:val="000000"/>
                <w:sz w:val="18"/>
                <w:szCs w:val="18"/>
                <w:lang w:val="en-US" w:eastAsia="zh-CN"/>
              </w:rPr>
            </w:pPr>
            <w:r w:rsidRPr="007B0DBC">
              <w:rPr>
                <w:rFonts w:ascii="Arial" w:hAnsi="Arial" w:cs="Arial"/>
                <w:b/>
                <w:bCs/>
                <w:color w:val="000000"/>
                <w:sz w:val="18"/>
                <w:szCs w:val="18"/>
                <w:lang w:val="en-US" w:eastAsia="zh-CN"/>
              </w:rPr>
              <w:t>Victim</w:t>
            </w:r>
          </w:p>
        </w:tc>
        <w:tc>
          <w:tcPr>
            <w:tcW w:w="833" w:type="pct"/>
            <w:tcBorders>
              <w:top w:val="single" w:sz="8" w:space="0" w:color="auto"/>
              <w:left w:val="nil"/>
              <w:bottom w:val="single" w:sz="8" w:space="0" w:color="auto"/>
              <w:right w:val="single" w:sz="8" w:space="0" w:color="auto"/>
            </w:tcBorders>
            <w:shd w:val="clear" w:color="000000" w:fill="D0CECE"/>
            <w:vAlign w:val="center"/>
            <w:hideMark/>
          </w:tcPr>
          <w:p w14:paraId="63FB0B5B" w14:textId="77777777" w:rsidR="007B0DBC" w:rsidRPr="007B0DBC" w:rsidRDefault="007B0DBC" w:rsidP="007B0DBC">
            <w:pPr>
              <w:spacing w:after="0"/>
              <w:jc w:val="center"/>
              <w:rPr>
                <w:rFonts w:ascii="Arial" w:hAnsi="Arial" w:cs="Arial"/>
                <w:b/>
                <w:bCs/>
                <w:color w:val="000000"/>
                <w:sz w:val="18"/>
                <w:szCs w:val="18"/>
                <w:lang w:val="en-US" w:eastAsia="zh-CN"/>
              </w:rPr>
            </w:pPr>
            <w:r w:rsidRPr="007B0DBC">
              <w:rPr>
                <w:rFonts w:ascii="Arial" w:hAnsi="Arial" w:cs="Arial"/>
                <w:b/>
                <w:bCs/>
                <w:color w:val="000000"/>
                <w:sz w:val="18"/>
                <w:szCs w:val="18"/>
                <w:lang w:val="en-US" w:eastAsia="zh-CN"/>
              </w:rPr>
              <w:t>Direction</w:t>
            </w:r>
          </w:p>
        </w:tc>
      </w:tr>
      <w:tr w:rsidR="007B0DBC" w:rsidRPr="007B0DBC" w14:paraId="4EBC08A7" w14:textId="77777777" w:rsidTr="001239C3">
        <w:trPr>
          <w:trHeight w:val="300"/>
        </w:trPr>
        <w:tc>
          <w:tcPr>
            <w:tcW w:w="992" w:type="pct"/>
            <w:vMerge w:val="restart"/>
            <w:tcBorders>
              <w:top w:val="nil"/>
              <w:left w:val="single" w:sz="8" w:space="0" w:color="auto"/>
              <w:bottom w:val="single" w:sz="8" w:space="0" w:color="000000"/>
              <w:right w:val="single" w:sz="8" w:space="0" w:color="auto"/>
            </w:tcBorders>
            <w:shd w:val="clear" w:color="000000" w:fill="D0CECE"/>
            <w:vAlign w:val="center"/>
            <w:hideMark/>
          </w:tcPr>
          <w:p w14:paraId="72874926" w14:textId="77777777" w:rsidR="007B0DBC" w:rsidRPr="007B0DBC" w:rsidRDefault="007B0DBC" w:rsidP="007B0DBC">
            <w:pPr>
              <w:spacing w:after="0"/>
              <w:jc w:val="center"/>
              <w:rPr>
                <w:rFonts w:ascii="Arial" w:hAnsi="Arial" w:cs="Arial"/>
                <w:b/>
                <w:bCs/>
                <w:color w:val="000000"/>
                <w:sz w:val="18"/>
                <w:szCs w:val="18"/>
                <w:lang w:val="en-US" w:eastAsia="zh-CN"/>
              </w:rPr>
            </w:pPr>
            <w:r w:rsidRPr="007B0DBC">
              <w:rPr>
                <w:rFonts w:ascii="Arial" w:hAnsi="Arial" w:cs="Arial"/>
                <w:b/>
                <w:bCs/>
                <w:color w:val="000000"/>
                <w:sz w:val="18"/>
                <w:szCs w:val="18"/>
                <w:lang w:val="en-US" w:eastAsia="zh-CN"/>
              </w:rPr>
              <w:t>Standalone</w:t>
            </w:r>
          </w:p>
        </w:tc>
        <w:tc>
          <w:tcPr>
            <w:tcW w:w="666" w:type="pct"/>
            <w:vMerge w:val="restart"/>
            <w:tcBorders>
              <w:top w:val="nil"/>
              <w:left w:val="single" w:sz="8" w:space="0" w:color="auto"/>
              <w:bottom w:val="single" w:sz="8" w:space="0" w:color="000000"/>
              <w:right w:val="single" w:sz="8" w:space="0" w:color="auto"/>
            </w:tcBorders>
            <w:vAlign w:val="center"/>
            <w:hideMark/>
          </w:tcPr>
          <w:p w14:paraId="4B0E32A9"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 2b</w:t>
            </w:r>
          </w:p>
        </w:tc>
        <w:tc>
          <w:tcPr>
            <w:tcW w:w="942" w:type="pct"/>
            <w:tcBorders>
              <w:top w:val="nil"/>
              <w:left w:val="nil"/>
              <w:bottom w:val="single" w:sz="8" w:space="0" w:color="auto"/>
              <w:right w:val="single" w:sz="8" w:space="0" w:color="auto"/>
            </w:tcBorders>
            <w:vAlign w:val="center"/>
            <w:hideMark/>
          </w:tcPr>
          <w:p w14:paraId="7ABA60F9"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1</w:t>
            </w:r>
          </w:p>
        </w:tc>
        <w:tc>
          <w:tcPr>
            <w:tcW w:w="934" w:type="pct"/>
            <w:tcBorders>
              <w:top w:val="nil"/>
              <w:left w:val="nil"/>
              <w:bottom w:val="single" w:sz="8" w:space="0" w:color="auto"/>
              <w:right w:val="single" w:sz="8" w:space="0" w:color="auto"/>
            </w:tcBorders>
            <w:vAlign w:val="center"/>
            <w:hideMark/>
          </w:tcPr>
          <w:p w14:paraId="5B2719A8"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w:t>
            </w:r>
          </w:p>
        </w:tc>
        <w:tc>
          <w:tcPr>
            <w:tcW w:w="633" w:type="pct"/>
            <w:tcBorders>
              <w:top w:val="nil"/>
              <w:left w:val="nil"/>
              <w:bottom w:val="single" w:sz="8" w:space="0" w:color="auto"/>
              <w:right w:val="single" w:sz="8" w:space="0" w:color="auto"/>
            </w:tcBorders>
            <w:vAlign w:val="center"/>
            <w:hideMark/>
          </w:tcPr>
          <w:p w14:paraId="06101CC6"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UL</w:t>
            </w:r>
          </w:p>
        </w:tc>
        <w:tc>
          <w:tcPr>
            <w:tcW w:w="833" w:type="pct"/>
            <w:tcBorders>
              <w:top w:val="nil"/>
              <w:left w:val="nil"/>
              <w:bottom w:val="single" w:sz="8" w:space="0" w:color="auto"/>
              <w:right w:val="single" w:sz="8" w:space="0" w:color="auto"/>
            </w:tcBorders>
            <w:vAlign w:val="center"/>
            <w:hideMark/>
          </w:tcPr>
          <w:p w14:paraId="332C8A22"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D2R</w:t>
            </w:r>
          </w:p>
        </w:tc>
      </w:tr>
      <w:tr w:rsidR="007B0DBC" w:rsidRPr="007B0DBC" w14:paraId="23AAEE58"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1EA4C164"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319BE130"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441AA955"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2</w:t>
            </w:r>
          </w:p>
        </w:tc>
        <w:tc>
          <w:tcPr>
            <w:tcW w:w="934" w:type="pct"/>
            <w:tcBorders>
              <w:top w:val="nil"/>
              <w:left w:val="nil"/>
              <w:bottom w:val="single" w:sz="8" w:space="0" w:color="auto"/>
              <w:right w:val="single" w:sz="8" w:space="0" w:color="auto"/>
            </w:tcBorders>
            <w:vAlign w:val="center"/>
            <w:hideMark/>
          </w:tcPr>
          <w:p w14:paraId="4DDEF2E0"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UL</w:t>
            </w:r>
          </w:p>
        </w:tc>
        <w:tc>
          <w:tcPr>
            <w:tcW w:w="633" w:type="pct"/>
            <w:tcBorders>
              <w:top w:val="nil"/>
              <w:left w:val="nil"/>
              <w:bottom w:val="single" w:sz="8" w:space="0" w:color="auto"/>
              <w:right w:val="single" w:sz="8" w:space="0" w:color="auto"/>
            </w:tcBorders>
            <w:vAlign w:val="center"/>
            <w:hideMark/>
          </w:tcPr>
          <w:p w14:paraId="7D1862C6"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reader</w:t>
            </w:r>
          </w:p>
        </w:tc>
        <w:tc>
          <w:tcPr>
            <w:tcW w:w="833" w:type="pct"/>
            <w:tcBorders>
              <w:top w:val="nil"/>
              <w:left w:val="nil"/>
              <w:bottom w:val="single" w:sz="8" w:space="0" w:color="auto"/>
              <w:right w:val="single" w:sz="8" w:space="0" w:color="auto"/>
            </w:tcBorders>
            <w:vAlign w:val="center"/>
            <w:hideMark/>
          </w:tcPr>
          <w:p w14:paraId="2B92393F"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D2R</w:t>
            </w:r>
          </w:p>
        </w:tc>
      </w:tr>
      <w:tr w:rsidR="007B0DBC" w:rsidRPr="007B0DBC" w14:paraId="334DAEE0"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6F86723E"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13D9B148"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2172DB45"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3</w:t>
            </w:r>
          </w:p>
        </w:tc>
        <w:tc>
          <w:tcPr>
            <w:tcW w:w="934" w:type="pct"/>
            <w:tcBorders>
              <w:top w:val="nil"/>
              <w:left w:val="nil"/>
              <w:bottom w:val="single" w:sz="8" w:space="0" w:color="auto"/>
              <w:right w:val="single" w:sz="8" w:space="0" w:color="auto"/>
            </w:tcBorders>
            <w:vAlign w:val="center"/>
            <w:hideMark/>
          </w:tcPr>
          <w:p w14:paraId="4E529DD0"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Reader</w:t>
            </w:r>
          </w:p>
        </w:tc>
        <w:tc>
          <w:tcPr>
            <w:tcW w:w="633" w:type="pct"/>
            <w:tcBorders>
              <w:top w:val="nil"/>
              <w:left w:val="nil"/>
              <w:bottom w:val="single" w:sz="8" w:space="0" w:color="auto"/>
              <w:right w:val="single" w:sz="8" w:space="0" w:color="auto"/>
            </w:tcBorders>
            <w:vAlign w:val="center"/>
            <w:hideMark/>
          </w:tcPr>
          <w:p w14:paraId="527D13CC"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DL</w:t>
            </w:r>
          </w:p>
        </w:tc>
        <w:tc>
          <w:tcPr>
            <w:tcW w:w="833" w:type="pct"/>
            <w:tcBorders>
              <w:top w:val="nil"/>
              <w:left w:val="nil"/>
              <w:bottom w:val="single" w:sz="8" w:space="0" w:color="auto"/>
              <w:right w:val="single" w:sz="8" w:space="0" w:color="auto"/>
            </w:tcBorders>
            <w:vAlign w:val="center"/>
            <w:hideMark/>
          </w:tcPr>
          <w:p w14:paraId="236D4DC8"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R2D</w:t>
            </w:r>
          </w:p>
        </w:tc>
      </w:tr>
      <w:tr w:rsidR="007B0DBC" w:rsidRPr="007B0DBC" w14:paraId="263A1E32"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463A8A36"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4ED5145B"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5F7ABF9F"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4</w:t>
            </w:r>
          </w:p>
        </w:tc>
        <w:tc>
          <w:tcPr>
            <w:tcW w:w="934" w:type="pct"/>
            <w:tcBorders>
              <w:top w:val="nil"/>
              <w:left w:val="nil"/>
              <w:bottom w:val="single" w:sz="8" w:space="0" w:color="auto"/>
              <w:right w:val="single" w:sz="8" w:space="0" w:color="auto"/>
            </w:tcBorders>
            <w:vAlign w:val="center"/>
            <w:hideMark/>
          </w:tcPr>
          <w:p w14:paraId="03162B6E"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DL</w:t>
            </w:r>
          </w:p>
        </w:tc>
        <w:tc>
          <w:tcPr>
            <w:tcW w:w="633" w:type="pct"/>
            <w:tcBorders>
              <w:top w:val="nil"/>
              <w:left w:val="nil"/>
              <w:bottom w:val="single" w:sz="8" w:space="0" w:color="auto"/>
              <w:right w:val="single" w:sz="8" w:space="0" w:color="auto"/>
            </w:tcBorders>
            <w:vAlign w:val="center"/>
            <w:hideMark/>
          </w:tcPr>
          <w:p w14:paraId="048CC753"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w:t>
            </w:r>
          </w:p>
        </w:tc>
        <w:tc>
          <w:tcPr>
            <w:tcW w:w="833" w:type="pct"/>
            <w:tcBorders>
              <w:top w:val="nil"/>
              <w:left w:val="nil"/>
              <w:bottom w:val="single" w:sz="8" w:space="0" w:color="auto"/>
              <w:right w:val="single" w:sz="8" w:space="0" w:color="auto"/>
            </w:tcBorders>
            <w:vAlign w:val="center"/>
            <w:hideMark/>
          </w:tcPr>
          <w:p w14:paraId="27C75CA6"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R2D</w:t>
            </w:r>
          </w:p>
        </w:tc>
      </w:tr>
      <w:tr w:rsidR="007B0DBC" w:rsidRPr="007B0DBC" w14:paraId="7123EA18"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1EA51CDA"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val="restart"/>
            <w:tcBorders>
              <w:top w:val="nil"/>
              <w:left w:val="single" w:sz="8" w:space="0" w:color="auto"/>
              <w:bottom w:val="single" w:sz="8" w:space="0" w:color="000000"/>
              <w:right w:val="single" w:sz="8" w:space="0" w:color="auto"/>
            </w:tcBorders>
            <w:vAlign w:val="center"/>
            <w:hideMark/>
          </w:tcPr>
          <w:p w14:paraId="3F508743"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 C</w:t>
            </w:r>
          </w:p>
        </w:tc>
        <w:tc>
          <w:tcPr>
            <w:tcW w:w="942" w:type="pct"/>
            <w:tcBorders>
              <w:top w:val="nil"/>
              <w:left w:val="nil"/>
              <w:bottom w:val="single" w:sz="8" w:space="0" w:color="auto"/>
              <w:right w:val="single" w:sz="8" w:space="0" w:color="auto"/>
            </w:tcBorders>
            <w:vAlign w:val="center"/>
            <w:hideMark/>
          </w:tcPr>
          <w:p w14:paraId="0F61F00B"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5</w:t>
            </w:r>
          </w:p>
        </w:tc>
        <w:tc>
          <w:tcPr>
            <w:tcW w:w="934" w:type="pct"/>
            <w:tcBorders>
              <w:top w:val="nil"/>
              <w:left w:val="nil"/>
              <w:bottom w:val="single" w:sz="8" w:space="0" w:color="auto"/>
              <w:right w:val="single" w:sz="8" w:space="0" w:color="auto"/>
            </w:tcBorders>
            <w:vAlign w:val="center"/>
            <w:hideMark/>
          </w:tcPr>
          <w:p w14:paraId="3B4297EF"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w:t>
            </w:r>
          </w:p>
        </w:tc>
        <w:tc>
          <w:tcPr>
            <w:tcW w:w="633" w:type="pct"/>
            <w:tcBorders>
              <w:top w:val="nil"/>
              <w:left w:val="nil"/>
              <w:bottom w:val="single" w:sz="8" w:space="0" w:color="auto"/>
              <w:right w:val="single" w:sz="8" w:space="0" w:color="auto"/>
            </w:tcBorders>
            <w:vAlign w:val="center"/>
            <w:hideMark/>
          </w:tcPr>
          <w:p w14:paraId="04CB7FAC"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UL</w:t>
            </w:r>
          </w:p>
        </w:tc>
        <w:tc>
          <w:tcPr>
            <w:tcW w:w="833" w:type="pct"/>
            <w:tcBorders>
              <w:top w:val="nil"/>
              <w:left w:val="nil"/>
              <w:bottom w:val="single" w:sz="8" w:space="0" w:color="auto"/>
              <w:right w:val="single" w:sz="8" w:space="0" w:color="auto"/>
            </w:tcBorders>
            <w:vAlign w:val="center"/>
            <w:hideMark/>
          </w:tcPr>
          <w:p w14:paraId="0DEDA6C7"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D2R</w:t>
            </w:r>
          </w:p>
        </w:tc>
      </w:tr>
      <w:tr w:rsidR="007B0DBC" w:rsidRPr="007B0DBC" w14:paraId="7FF9A2A6"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09D897B4"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554086F7"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2786A2E0"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6</w:t>
            </w:r>
          </w:p>
        </w:tc>
        <w:tc>
          <w:tcPr>
            <w:tcW w:w="934" w:type="pct"/>
            <w:tcBorders>
              <w:top w:val="nil"/>
              <w:left w:val="nil"/>
              <w:bottom w:val="single" w:sz="8" w:space="0" w:color="auto"/>
              <w:right w:val="single" w:sz="8" w:space="0" w:color="auto"/>
            </w:tcBorders>
            <w:vAlign w:val="center"/>
            <w:hideMark/>
          </w:tcPr>
          <w:p w14:paraId="7323297D"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UL</w:t>
            </w:r>
          </w:p>
        </w:tc>
        <w:tc>
          <w:tcPr>
            <w:tcW w:w="633" w:type="pct"/>
            <w:tcBorders>
              <w:top w:val="nil"/>
              <w:left w:val="nil"/>
              <w:bottom w:val="single" w:sz="8" w:space="0" w:color="auto"/>
              <w:right w:val="single" w:sz="8" w:space="0" w:color="auto"/>
            </w:tcBorders>
            <w:vAlign w:val="center"/>
            <w:hideMark/>
          </w:tcPr>
          <w:p w14:paraId="26FB9081"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reader</w:t>
            </w:r>
          </w:p>
        </w:tc>
        <w:tc>
          <w:tcPr>
            <w:tcW w:w="833" w:type="pct"/>
            <w:tcBorders>
              <w:top w:val="nil"/>
              <w:left w:val="nil"/>
              <w:bottom w:val="single" w:sz="8" w:space="0" w:color="auto"/>
              <w:right w:val="single" w:sz="8" w:space="0" w:color="auto"/>
            </w:tcBorders>
            <w:vAlign w:val="center"/>
            <w:hideMark/>
          </w:tcPr>
          <w:p w14:paraId="1BE37484"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D2R</w:t>
            </w:r>
          </w:p>
        </w:tc>
      </w:tr>
      <w:tr w:rsidR="007B0DBC" w:rsidRPr="007B0DBC" w14:paraId="08EBEBEC"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26E1AB13"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3A6CB99D"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7819A156"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7</w:t>
            </w:r>
          </w:p>
        </w:tc>
        <w:tc>
          <w:tcPr>
            <w:tcW w:w="934" w:type="pct"/>
            <w:tcBorders>
              <w:top w:val="nil"/>
              <w:left w:val="nil"/>
              <w:bottom w:val="single" w:sz="8" w:space="0" w:color="auto"/>
              <w:right w:val="single" w:sz="8" w:space="0" w:color="auto"/>
            </w:tcBorders>
            <w:vAlign w:val="center"/>
            <w:hideMark/>
          </w:tcPr>
          <w:p w14:paraId="0A4F5043"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Reader</w:t>
            </w:r>
          </w:p>
        </w:tc>
        <w:tc>
          <w:tcPr>
            <w:tcW w:w="633" w:type="pct"/>
            <w:tcBorders>
              <w:top w:val="nil"/>
              <w:left w:val="nil"/>
              <w:bottom w:val="single" w:sz="8" w:space="0" w:color="auto"/>
              <w:right w:val="single" w:sz="8" w:space="0" w:color="auto"/>
            </w:tcBorders>
            <w:vAlign w:val="center"/>
            <w:hideMark/>
          </w:tcPr>
          <w:p w14:paraId="1FC6E319"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DL</w:t>
            </w:r>
          </w:p>
        </w:tc>
        <w:tc>
          <w:tcPr>
            <w:tcW w:w="833" w:type="pct"/>
            <w:tcBorders>
              <w:top w:val="nil"/>
              <w:left w:val="nil"/>
              <w:bottom w:val="single" w:sz="8" w:space="0" w:color="auto"/>
              <w:right w:val="single" w:sz="8" w:space="0" w:color="auto"/>
            </w:tcBorders>
            <w:vAlign w:val="center"/>
            <w:hideMark/>
          </w:tcPr>
          <w:p w14:paraId="2C02F7DF"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R2D</w:t>
            </w:r>
          </w:p>
        </w:tc>
      </w:tr>
      <w:tr w:rsidR="007B0DBC" w:rsidRPr="007B0DBC" w14:paraId="41F6C2D1"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5DC68244"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23805A20"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0E0E34ED"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8</w:t>
            </w:r>
          </w:p>
        </w:tc>
        <w:tc>
          <w:tcPr>
            <w:tcW w:w="934" w:type="pct"/>
            <w:tcBorders>
              <w:top w:val="nil"/>
              <w:left w:val="nil"/>
              <w:bottom w:val="single" w:sz="8" w:space="0" w:color="auto"/>
              <w:right w:val="single" w:sz="8" w:space="0" w:color="auto"/>
            </w:tcBorders>
            <w:vAlign w:val="center"/>
            <w:hideMark/>
          </w:tcPr>
          <w:p w14:paraId="52111D85"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DL</w:t>
            </w:r>
          </w:p>
        </w:tc>
        <w:tc>
          <w:tcPr>
            <w:tcW w:w="633" w:type="pct"/>
            <w:tcBorders>
              <w:top w:val="nil"/>
              <w:left w:val="nil"/>
              <w:bottom w:val="single" w:sz="8" w:space="0" w:color="auto"/>
              <w:right w:val="single" w:sz="8" w:space="0" w:color="auto"/>
            </w:tcBorders>
            <w:vAlign w:val="center"/>
            <w:hideMark/>
          </w:tcPr>
          <w:p w14:paraId="75A664B5"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w:t>
            </w:r>
          </w:p>
        </w:tc>
        <w:tc>
          <w:tcPr>
            <w:tcW w:w="833" w:type="pct"/>
            <w:tcBorders>
              <w:top w:val="nil"/>
              <w:left w:val="nil"/>
              <w:bottom w:val="single" w:sz="8" w:space="0" w:color="auto"/>
              <w:right w:val="single" w:sz="8" w:space="0" w:color="auto"/>
            </w:tcBorders>
            <w:vAlign w:val="center"/>
            <w:hideMark/>
          </w:tcPr>
          <w:p w14:paraId="0B727B74"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R2D</w:t>
            </w:r>
          </w:p>
        </w:tc>
      </w:tr>
      <w:tr w:rsidR="007B0DBC" w:rsidRPr="007B0DBC" w14:paraId="7D62DA35" w14:textId="77777777" w:rsidTr="001239C3">
        <w:trPr>
          <w:trHeight w:val="300"/>
        </w:trPr>
        <w:tc>
          <w:tcPr>
            <w:tcW w:w="992" w:type="pct"/>
            <w:vMerge w:val="restart"/>
            <w:tcBorders>
              <w:top w:val="nil"/>
              <w:left w:val="single" w:sz="8" w:space="0" w:color="auto"/>
              <w:bottom w:val="single" w:sz="8" w:space="0" w:color="000000"/>
              <w:right w:val="single" w:sz="8" w:space="0" w:color="auto"/>
            </w:tcBorders>
            <w:shd w:val="clear" w:color="000000" w:fill="D0CECE"/>
            <w:vAlign w:val="center"/>
            <w:hideMark/>
          </w:tcPr>
          <w:p w14:paraId="329CB62D" w14:textId="77777777" w:rsidR="007B0DBC" w:rsidRPr="007B0DBC" w:rsidRDefault="007B0DBC" w:rsidP="007B0DBC">
            <w:pPr>
              <w:spacing w:after="0"/>
              <w:jc w:val="center"/>
              <w:rPr>
                <w:rFonts w:ascii="Arial" w:hAnsi="Arial" w:cs="Arial"/>
                <w:b/>
                <w:bCs/>
                <w:color w:val="000000"/>
                <w:sz w:val="18"/>
                <w:szCs w:val="18"/>
                <w:lang w:val="en-US" w:eastAsia="zh-CN"/>
              </w:rPr>
            </w:pPr>
            <w:r w:rsidRPr="007B0DBC">
              <w:rPr>
                <w:rFonts w:ascii="Arial" w:hAnsi="Arial" w:cs="Arial"/>
                <w:b/>
                <w:bCs/>
                <w:color w:val="000000"/>
                <w:sz w:val="18"/>
                <w:szCs w:val="18"/>
                <w:lang w:val="en-US" w:eastAsia="zh-CN"/>
              </w:rPr>
              <w:t>In-band</w:t>
            </w:r>
          </w:p>
        </w:tc>
        <w:tc>
          <w:tcPr>
            <w:tcW w:w="666" w:type="pct"/>
            <w:vMerge w:val="restart"/>
            <w:tcBorders>
              <w:top w:val="nil"/>
              <w:left w:val="single" w:sz="8" w:space="0" w:color="auto"/>
              <w:bottom w:val="single" w:sz="8" w:space="0" w:color="000000"/>
              <w:right w:val="single" w:sz="8" w:space="0" w:color="auto"/>
            </w:tcBorders>
            <w:vAlign w:val="center"/>
            <w:hideMark/>
          </w:tcPr>
          <w:p w14:paraId="4105A58E"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 2b</w:t>
            </w:r>
          </w:p>
        </w:tc>
        <w:tc>
          <w:tcPr>
            <w:tcW w:w="942" w:type="pct"/>
            <w:tcBorders>
              <w:top w:val="nil"/>
              <w:left w:val="nil"/>
              <w:bottom w:val="single" w:sz="8" w:space="0" w:color="auto"/>
              <w:right w:val="single" w:sz="8" w:space="0" w:color="auto"/>
            </w:tcBorders>
            <w:vAlign w:val="center"/>
            <w:hideMark/>
          </w:tcPr>
          <w:p w14:paraId="10ACFDD3"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9</w:t>
            </w:r>
          </w:p>
        </w:tc>
        <w:tc>
          <w:tcPr>
            <w:tcW w:w="934" w:type="pct"/>
            <w:tcBorders>
              <w:top w:val="nil"/>
              <w:left w:val="nil"/>
              <w:bottom w:val="single" w:sz="8" w:space="0" w:color="auto"/>
              <w:right w:val="single" w:sz="8" w:space="0" w:color="auto"/>
            </w:tcBorders>
            <w:vAlign w:val="center"/>
            <w:hideMark/>
          </w:tcPr>
          <w:p w14:paraId="579234D5"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w:t>
            </w:r>
          </w:p>
        </w:tc>
        <w:tc>
          <w:tcPr>
            <w:tcW w:w="633" w:type="pct"/>
            <w:tcBorders>
              <w:top w:val="nil"/>
              <w:left w:val="nil"/>
              <w:bottom w:val="single" w:sz="8" w:space="0" w:color="auto"/>
              <w:right w:val="single" w:sz="8" w:space="0" w:color="auto"/>
            </w:tcBorders>
            <w:vAlign w:val="center"/>
            <w:hideMark/>
          </w:tcPr>
          <w:p w14:paraId="1F01BD87"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UL</w:t>
            </w:r>
          </w:p>
        </w:tc>
        <w:tc>
          <w:tcPr>
            <w:tcW w:w="833" w:type="pct"/>
            <w:tcBorders>
              <w:top w:val="nil"/>
              <w:left w:val="nil"/>
              <w:bottom w:val="single" w:sz="8" w:space="0" w:color="auto"/>
              <w:right w:val="single" w:sz="8" w:space="0" w:color="auto"/>
            </w:tcBorders>
            <w:vAlign w:val="center"/>
            <w:hideMark/>
          </w:tcPr>
          <w:p w14:paraId="20D097F8"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D2R</w:t>
            </w:r>
          </w:p>
        </w:tc>
      </w:tr>
      <w:tr w:rsidR="007B0DBC" w:rsidRPr="007B0DBC" w14:paraId="33E2ECD7"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545A30A5"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2308FA7E"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2A7E715E"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10</w:t>
            </w:r>
          </w:p>
        </w:tc>
        <w:tc>
          <w:tcPr>
            <w:tcW w:w="934" w:type="pct"/>
            <w:tcBorders>
              <w:top w:val="nil"/>
              <w:left w:val="nil"/>
              <w:bottom w:val="single" w:sz="8" w:space="0" w:color="auto"/>
              <w:right w:val="single" w:sz="8" w:space="0" w:color="auto"/>
            </w:tcBorders>
            <w:vAlign w:val="center"/>
            <w:hideMark/>
          </w:tcPr>
          <w:p w14:paraId="4FCFE276"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UL</w:t>
            </w:r>
          </w:p>
        </w:tc>
        <w:tc>
          <w:tcPr>
            <w:tcW w:w="633" w:type="pct"/>
            <w:tcBorders>
              <w:top w:val="nil"/>
              <w:left w:val="nil"/>
              <w:bottom w:val="single" w:sz="8" w:space="0" w:color="auto"/>
              <w:right w:val="single" w:sz="8" w:space="0" w:color="auto"/>
            </w:tcBorders>
            <w:vAlign w:val="center"/>
            <w:hideMark/>
          </w:tcPr>
          <w:p w14:paraId="752FB55C"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reader</w:t>
            </w:r>
          </w:p>
        </w:tc>
        <w:tc>
          <w:tcPr>
            <w:tcW w:w="833" w:type="pct"/>
            <w:tcBorders>
              <w:top w:val="nil"/>
              <w:left w:val="nil"/>
              <w:bottom w:val="single" w:sz="8" w:space="0" w:color="auto"/>
              <w:right w:val="single" w:sz="8" w:space="0" w:color="auto"/>
            </w:tcBorders>
            <w:vAlign w:val="center"/>
            <w:hideMark/>
          </w:tcPr>
          <w:p w14:paraId="424D8B39"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D2R</w:t>
            </w:r>
          </w:p>
        </w:tc>
      </w:tr>
      <w:tr w:rsidR="007B0DBC" w:rsidRPr="007B0DBC" w14:paraId="157217A1"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23A4B37F"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0086DC3E"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50BBE67A"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11</w:t>
            </w:r>
          </w:p>
        </w:tc>
        <w:tc>
          <w:tcPr>
            <w:tcW w:w="934" w:type="pct"/>
            <w:tcBorders>
              <w:top w:val="nil"/>
              <w:left w:val="nil"/>
              <w:bottom w:val="single" w:sz="8" w:space="0" w:color="auto"/>
              <w:right w:val="single" w:sz="8" w:space="0" w:color="auto"/>
            </w:tcBorders>
            <w:vAlign w:val="center"/>
            <w:hideMark/>
          </w:tcPr>
          <w:p w14:paraId="5385B9C0"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Reader</w:t>
            </w:r>
          </w:p>
        </w:tc>
        <w:tc>
          <w:tcPr>
            <w:tcW w:w="633" w:type="pct"/>
            <w:tcBorders>
              <w:top w:val="nil"/>
              <w:left w:val="nil"/>
              <w:bottom w:val="single" w:sz="8" w:space="0" w:color="auto"/>
              <w:right w:val="single" w:sz="8" w:space="0" w:color="auto"/>
            </w:tcBorders>
            <w:vAlign w:val="center"/>
            <w:hideMark/>
          </w:tcPr>
          <w:p w14:paraId="4C33E17A"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DL</w:t>
            </w:r>
          </w:p>
        </w:tc>
        <w:tc>
          <w:tcPr>
            <w:tcW w:w="833" w:type="pct"/>
            <w:tcBorders>
              <w:top w:val="nil"/>
              <w:left w:val="nil"/>
              <w:bottom w:val="single" w:sz="8" w:space="0" w:color="auto"/>
              <w:right w:val="single" w:sz="8" w:space="0" w:color="auto"/>
            </w:tcBorders>
            <w:vAlign w:val="center"/>
            <w:hideMark/>
          </w:tcPr>
          <w:p w14:paraId="7D5DE048"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R2D</w:t>
            </w:r>
          </w:p>
        </w:tc>
      </w:tr>
      <w:tr w:rsidR="007B0DBC" w:rsidRPr="007B0DBC" w14:paraId="6F25EC54"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55013D80"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2BA13251"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62140698"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12</w:t>
            </w:r>
          </w:p>
        </w:tc>
        <w:tc>
          <w:tcPr>
            <w:tcW w:w="934" w:type="pct"/>
            <w:tcBorders>
              <w:top w:val="nil"/>
              <w:left w:val="nil"/>
              <w:bottom w:val="single" w:sz="8" w:space="0" w:color="auto"/>
              <w:right w:val="single" w:sz="8" w:space="0" w:color="auto"/>
            </w:tcBorders>
            <w:vAlign w:val="center"/>
            <w:hideMark/>
          </w:tcPr>
          <w:p w14:paraId="354DE5C3"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DL</w:t>
            </w:r>
          </w:p>
        </w:tc>
        <w:tc>
          <w:tcPr>
            <w:tcW w:w="633" w:type="pct"/>
            <w:tcBorders>
              <w:top w:val="nil"/>
              <w:left w:val="nil"/>
              <w:bottom w:val="single" w:sz="8" w:space="0" w:color="auto"/>
              <w:right w:val="single" w:sz="8" w:space="0" w:color="auto"/>
            </w:tcBorders>
            <w:vAlign w:val="center"/>
            <w:hideMark/>
          </w:tcPr>
          <w:p w14:paraId="08743CF0"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w:t>
            </w:r>
          </w:p>
        </w:tc>
        <w:tc>
          <w:tcPr>
            <w:tcW w:w="833" w:type="pct"/>
            <w:tcBorders>
              <w:top w:val="nil"/>
              <w:left w:val="nil"/>
              <w:bottom w:val="single" w:sz="8" w:space="0" w:color="auto"/>
              <w:right w:val="single" w:sz="8" w:space="0" w:color="auto"/>
            </w:tcBorders>
            <w:vAlign w:val="center"/>
            <w:hideMark/>
          </w:tcPr>
          <w:p w14:paraId="6E528785"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R2D</w:t>
            </w:r>
          </w:p>
        </w:tc>
      </w:tr>
      <w:tr w:rsidR="007B0DBC" w:rsidRPr="007B0DBC" w14:paraId="6841D0E9"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1CE84BD4"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val="restart"/>
            <w:tcBorders>
              <w:top w:val="nil"/>
              <w:left w:val="single" w:sz="8" w:space="0" w:color="auto"/>
              <w:bottom w:val="single" w:sz="8" w:space="0" w:color="000000"/>
              <w:right w:val="single" w:sz="8" w:space="0" w:color="auto"/>
            </w:tcBorders>
            <w:vAlign w:val="center"/>
            <w:hideMark/>
          </w:tcPr>
          <w:p w14:paraId="16B1BA7E"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 C</w:t>
            </w:r>
          </w:p>
        </w:tc>
        <w:tc>
          <w:tcPr>
            <w:tcW w:w="942" w:type="pct"/>
            <w:tcBorders>
              <w:top w:val="nil"/>
              <w:left w:val="nil"/>
              <w:bottom w:val="single" w:sz="8" w:space="0" w:color="auto"/>
              <w:right w:val="single" w:sz="8" w:space="0" w:color="auto"/>
            </w:tcBorders>
            <w:vAlign w:val="center"/>
            <w:hideMark/>
          </w:tcPr>
          <w:p w14:paraId="3B4C2946"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13</w:t>
            </w:r>
          </w:p>
        </w:tc>
        <w:tc>
          <w:tcPr>
            <w:tcW w:w="934" w:type="pct"/>
            <w:tcBorders>
              <w:top w:val="nil"/>
              <w:left w:val="nil"/>
              <w:bottom w:val="single" w:sz="8" w:space="0" w:color="auto"/>
              <w:right w:val="single" w:sz="8" w:space="0" w:color="auto"/>
            </w:tcBorders>
            <w:vAlign w:val="center"/>
            <w:hideMark/>
          </w:tcPr>
          <w:p w14:paraId="73D8306D"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w:t>
            </w:r>
          </w:p>
        </w:tc>
        <w:tc>
          <w:tcPr>
            <w:tcW w:w="633" w:type="pct"/>
            <w:tcBorders>
              <w:top w:val="nil"/>
              <w:left w:val="nil"/>
              <w:bottom w:val="single" w:sz="8" w:space="0" w:color="auto"/>
              <w:right w:val="single" w:sz="8" w:space="0" w:color="auto"/>
            </w:tcBorders>
            <w:vAlign w:val="center"/>
            <w:hideMark/>
          </w:tcPr>
          <w:p w14:paraId="47C6C92C"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UL</w:t>
            </w:r>
          </w:p>
        </w:tc>
        <w:tc>
          <w:tcPr>
            <w:tcW w:w="833" w:type="pct"/>
            <w:tcBorders>
              <w:top w:val="nil"/>
              <w:left w:val="nil"/>
              <w:bottom w:val="single" w:sz="8" w:space="0" w:color="auto"/>
              <w:right w:val="single" w:sz="8" w:space="0" w:color="auto"/>
            </w:tcBorders>
            <w:vAlign w:val="center"/>
            <w:hideMark/>
          </w:tcPr>
          <w:p w14:paraId="30207553"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D2R</w:t>
            </w:r>
          </w:p>
        </w:tc>
      </w:tr>
      <w:tr w:rsidR="007B0DBC" w:rsidRPr="007B0DBC" w14:paraId="0F430B78"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3FF859BB"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359721AB"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01F36295"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14</w:t>
            </w:r>
          </w:p>
        </w:tc>
        <w:tc>
          <w:tcPr>
            <w:tcW w:w="934" w:type="pct"/>
            <w:tcBorders>
              <w:top w:val="nil"/>
              <w:left w:val="nil"/>
              <w:bottom w:val="single" w:sz="8" w:space="0" w:color="auto"/>
              <w:right w:val="single" w:sz="8" w:space="0" w:color="auto"/>
            </w:tcBorders>
            <w:vAlign w:val="center"/>
            <w:hideMark/>
          </w:tcPr>
          <w:p w14:paraId="7119B037"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UL</w:t>
            </w:r>
          </w:p>
        </w:tc>
        <w:tc>
          <w:tcPr>
            <w:tcW w:w="633" w:type="pct"/>
            <w:tcBorders>
              <w:top w:val="nil"/>
              <w:left w:val="nil"/>
              <w:bottom w:val="single" w:sz="8" w:space="0" w:color="auto"/>
              <w:right w:val="single" w:sz="8" w:space="0" w:color="auto"/>
            </w:tcBorders>
            <w:vAlign w:val="center"/>
            <w:hideMark/>
          </w:tcPr>
          <w:p w14:paraId="018A0FC5"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reader</w:t>
            </w:r>
          </w:p>
        </w:tc>
        <w:tc>
          <w:tcPr>
            <w:tcW w:w="833" w:type="pct"/>
            <w:tcBorders>
              <w:top w:val="nil"/>
              <w:left w:val="nil"/>
              <w:bottom w:val="single" w:sz="8" w:space="0" w:color="auto"/>
              <w:right w:val="single" w:sz="8" w:space="0" w:color="auto"/>
            </w:tcBorders>
            <w:vAlign w:val="center"/>
            <w:hideMark/>
          </w:tcPr>
          <w:p w14:paraId="288B9E42"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D2R</w:t>
            </w:r>
          </w:p>
        </w:tc>
      </w:tr>
      <w:tr w:rsidR="007B0DBC" w:rsidRPr="007B0DBC" w14:paraId="7EE7174D"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1A1BB022"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3340C6A8"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5711E300"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15</w:t>
            </w:r>
          </w:p>
        </w:tc>
        <w:tc>
          <w:tcPr>
            <w:tcW w:w="934" w:type="pct"/>
            <w:tcBorders>
              <w:top w:val="nil"/>
              <w:left w:val="nil"/>
              <w:bottom w:val="single" w:sz="8" w:space="0" w:color="auto"/>
              <w:right w:val="single" w:sz="8" w:space="0" w:color="auto"/>
            </w:tcBorders>
            <w:vAlign w:val="center"/>
            <w:hideMark/>
          </w:tcPr>
          <w:p w14:paraId="643E4F87"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Reader</w:t>
            </w:r>
          </w:p>
        </w:tc>
        <w:tc>
          <w:tcPr>
            <w:tcW w:w="633" w:type="pct"/>
            <w:tcBorders>
              <w:top w:val="nil"/>
              <w:left w:val="nil"/>
              <w:bottom w:val="single" w:sz="8" w:space="0" w:color="auto"/>
              <w:right w:val="single" w:sz="8" w:space="0" w:color="auto"/>
            </w:tcBorders>
            <w:vAlign w:val="center"/>
            <w:hideMark/>
          </w:tcPr>
          <w:p w14:paraId="457DCC01"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DL</w:t>
            </w:r>
          </w:p>
        </w:tc>
        <w:tc>
          <w:tcPr>
            <w:tcW w:w="833" w:type="pct"/>
            <w:tcBorders>
              <w:top w:val="nil"/>
              <w:left w:val="nil"/>
              <w:bottom w:val="single" w:sz="8" w:space="0" w:color="auto"/>
              <w:right w:val="single" w:sz="8" w:space="0" w:color="auto"/>
            </w:tcBorders>
            <w:vAlign w:val="center"/>
            <w:hideMark/>
          </w:tcPr>
          <w:p w14:paraId="060813AA"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R2D</w:t>
            </w:r>
          </w:p>
        </w:tc>
      </w:tr>
      <w:tr w:rsidR="007B0DBC" w:rsidRPr="007B0DBC" w14:paraId="29993B32" w14:textId="77777777" w:rsidTr="001239C3">
        <w:trPr>
          <w:trHeight w:val="300"/>
        </w:trPr>
        <w:tc>
          <w:tcPr>
            <w:tcW w:w="992" w:type="pct"/>
            <w:vMerge/>
            <w:tcBorders>
              <w:top w:val="nil"/>
              <w:left w:val="single" w:sz="8" w:space="0" w:color="auto"/>
              <w:bottom w:val="single" w:sz="8" w:space="0" w:color="000000"/>
              <w:right w:val="single" w:sz="8" w:space="0" w:color="auto"/>
            </w:tcBorders>
            <w:vAlign w:val="center"/>
            <w:hideMark/>
          </w:tcPr>
          <w:p w14:paraId="0275EE2C" w14:textId="77777777" w:rsidR="007B0DBC" w:rsidRPr="007B0DBC" w:rsidRDefault="007B0DBC" w:rsidP="007B0DBC">
            <w:pPr>
              <w:spacing w:after="0"/>
              <w:rPr>
                <w:rFonts w:ascii="Arial" w:hAnsi="Arial" w:cs="Arial"/>
                <w:b/>
                <w:bCs/>
                <w:color w:val="000000"/>
                <w:sz w:val="18"/>
                <w:szCs w:val="18"/>
                <w:lang w:val="en-US" w:eastAsia="zh-CN"/>
              </w:rPr>
            </w:pPr>
          </w:p>
        </w:tc>
        <w:tc>
          <w:tcPr>
            <w:tcW w:w="666" w:type="pct"/>
            <w:vMerge/>
            <w:tcBorders>
              <w:top w:val="nil"/>
              <w:left w:val="single" w:sz="8" w:space="0" w:color="auto"/>
              <w:bottom w:val="single" w:sz="8" w:space="0" w:color="000000"/>
              <w:right w:val="single" w:sz="8" w:space="0" w:color="auto"/>
            </w:tcBorders>
            <w:vAlign w:val="center"/>
            <w:hideMark/>
          </w:tcPr>
          <w:p w14:paraId="013EB194" w14:textId="77777777" w:rsidR="007B0DBC" w:rsidRPr="007B0DBC" w:rsidRDefault="007B0DBC" w:rsidP="007B0DBC">
            <w:pPr>
              <w:spacing w:after="0"/>
              <w:rPr>
                <w:rFonts w:ascii="Arial" w:hAnsi="Arial" w:cs="Arial"/>
                <w:color w:val="000000"/>
                <w:sz w:val="18"/>
                <w:szCs w:val="18"/>
                <w:lang w:val="en-US" w:eastAsia="zh-CN"/>
              </w:rPr>
            </w:pPr>
          </w:p>
        </w:tc>
        <w:tc>
          <w:tcPr>
            <w:tcW w:w="942" w:type="pct"/>
            <w:tcBorders>
              <w:top w:val="nil"/>
              <w:left w:val="nil"/>
              <w:bottom w:val="single" w:sz="8" w:space="0" w:color="auto"/>
              <w:right w:val="single" w:sz="8" w:space="0" w:color="auto"/>
            </w:tcBorders>
            <w:vAlign w:val="center"/>
            <w:hideMark/>
          </w:tcPr>
          <w:p w14:paraId="5D2F38F5"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16</w:t>
            </w:r>
          </w:p>
        </w:tc>
        <w:tc>
          <w:tcPr>
            <w:tcW w:w="934" w:type="pct"/>
            <w:tcBorders>
              <w:top w:val="nil"/>
              <w:left w:val="nil"/>
              <w:bottom w:val="single" w:sz="8" w:space="0" w:color="auto"/>
              <w:right w:val="single" w:sz="8" w:space="0" w:color="auto"/>
            </w:tcBorders>
            <w:vAlign w:val="center"/>
            <w:hideMark/>
          </w:tcPr>
          <w:p w14:paraId="77A8F6B2"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NR DL</w:t>
            </w:r>
          </w:p>
        </w:tc>
        <w:tc>
          <w:tcPr>
            <w:tcW w:w="633" w:type="pct"/>
            <w:tcBorders>
              <w:top w:val="nil"/>
              <w:left w:val="nil"/>
              <w:bottom w:val="single" w:sz="8" w:space="0" w:color="auto"/>
              <w:right w:val="single" w:sz="8" w:space="0" w:color="auto"/>
            </w:tcBorders>
            <w:vAlign w:val="center"/>
            <w:hideMark/>
          </w:tcPr>
          <w:p w14:paraId="280D06BF"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device</w:t>
            </w:r>
          </w:p>
        </w:tc>
        <w:tc>
          <w:tcPr>
            <w:tcW w:w="833" w:type="pct"/>
            <w:tcBorders>
              <w:top w:val="nil"/>
              <w:left w:val="nil"/>
              <w:bottom w:val="single" w:sz="8" w:space="0" w:color="auto"/>
              <w:right w:val="single" w:sz="8" w:space="0" w:color="auto"/>
            </w:tcBorders>
            <w:vAlign w:val="center"/>
            <w:hideMark/>
          </w:tcPr>
          <w:p w14:paraId="16C89F70" w14:textId="77777777" w:rsidR="007B0DBC" w:rsidRPr="007B0DBC" w:rsidRDefault="007B0DBC" w:rsidP="007B0DBC">
            <w:pPr>
              <w:spacing w:after="0"/>
              <w:jc w:val="center"/>
              <w:rPr>
                <w:rFonts w:ascii="Arial" w:hAnsi="Arial" w:cs="Arial"/>
                <w:color w:val="000000"/>
                <w:sz w:val="18"/>
                <w:szCs w:val="18"/>
                <w:lang w:val="en-US" w:eastAsia="zh-CN"/>
              </w:rPr>
            </w:pPr>
            <w:r w:rsidRPr="007B0DBC">
              <w:rPr>
                <w:rFonts w:ascii="Arial" w:hAnsi="Arial" w:cs="Arial"/>
                <w:color w:val="000000"/>
                <w:sz w:val="18"/>
                <w:szCs w:val="18"/>
                <w:lang w:val="en-US" w:eastAsia="zh-CN"/>
              </w:rPr>
              <w:t>R2D</w:t>
            </w:r>
          </w:p>
        </w:tc>
      </w:tr>
    </w:tbl>
    <w:p w14:paraId="6F5D14A9" w14:textId="77777777" w:rsidR="001239C3" w:rsidRDefault="001239C3" w:rsidP="00097300">
      <w:pPr>
        <w:pStyle w:val="BodyText"/>
        <w:rPr>
          <w:lang w:val="en-US"/>
        </w:rPr>
      </w:pPr>
    </w:p>
    <w:p w14:paraId="16FE5DEF" w14:textId="6A0C27BB" w:rsidR="00097300" w:rsidRPr="00600383" w:rsidRDefault="00097300" w:rsidP="00097300">
      <w:pPr>
        <w:pStyle w:val="BodyText"/>
        <w:rPr>
          <w:lang w:val="en-US"/>
        </w:rPr>
      </w:pPr>
      <w:r>
        <w:rPr>
          <w:lang w:val="en-US"/>
        </w:rPr>
        <w:t>For the coexistence study cases, t</w:t>
      </w:r>
      <w:r w:rsidRPr="00600383">
        <w:rPr>
          <w:lang w:val="en-US"/>
        </w:rPr>
        <w:t xml:space="preserve">he following cases need to be considered under </w:t>
      </w:r>
      <w:r>
        <w:rPr>
          <w:lang w:val="en-US"/>
        </w:rPr>
        <w:t xml:space="preserve">the </w:t>
      </w:r>
      <w:r w:rsidRPr="00600383">
        <w:rPr>
          <w:lang w:val="en-US"/>
        </w:rPr>
        <w:t>coexistence study of outdoor AIoT in Rel-20:</w:t>
      </w:r>
    </w:p>
    <w:tbl>
      <w:tblPr>
        <w:tblStyle w:val="TableGrid"/>
        <w:tblW w:w="0" w:type="auto"/>
        <w:tblInd w:w="892" w:type="dxa"/>
        <w:tblLook w:val="04A0" w:firstRow="1" w:lastRow="0" w:firstColumn="1" w:lastColumn="0" w:noHBand="0" w:noVBand="1"/>
      </w:tblPr>
      <w:tblGrid>
        <w:gridCol w:w="913"/>
        <w:gridCol w:w="1012"/>
        <w:gridCol w:w="1205"/>
        <w:gridCol w:w="1340"/>
        <w:gridCol w:w="1167"/>
        <w:gridCol w:w="3326"/>
      </w:tblGrid>
      <w:tr w:rsidR="003D2DBC" w14:paraId="69DC2AEC" w14:textId="77777777" w:rsidTr="003D2DBC">
        <w:tc>
          <w:tcPr>
            <w:tcW w:w="913" w:type="dxa"/>
          </w:tcPr>
          <w:p w14:paraId="76DDADCD" w14:textId="583DDBCC" w:rsidR="003D2DBC" w:rsidRDefault="003D2DBC" w:rsidP="00746855">
            <w:pPr>
              <w:pStyle w:val="BodyText"/>
              <w:jc w:val="center"/>
            </w:pPr>
            <w:r>
              <w:t xml:space="preserve">Group </w:t>
            </w:r>
          </w:p>
        </w:tc>
        <w:tc>
          <w:tcPr>
            <w:tcW w:w="1012" w:type="dxa"/>
          </w:tcPr>
          <w:p w14:paraId="37665CD0" w14:textId="098CBA8F" w:rsidR="003D2DBC" w:rsidRDefault="003D2DBC" w:rsidP="00746855">
            <w:pPr>
              <w:pStyle w:val="BodyText"/>
              <w:jc w:val="center"/>
            </w:pPr>
            <w:r>
              <w:t>case</w:t>
            </w:r>
          </w:p>
        </w:tc>
        <w:tc>
          <w:tcPr>
            <w:tcW w:w="1205" w:type="dxa"/>
          </w:tcPr>
          <w:p w14:paraId="6D0359DF" w14:textId="77777777" w:rsidR="003D2DBC" w:rsidRDefault="003D2DBC" w:rsidP="00746855">
            <w:pPr>
              <w:pStyle w:val="BodyText"/>
              <w:jc w:val="center"/>
            </w:pPr>
            <w:r>
              <w:t>direction</w:t>
            </w:r>
          </w:p>
        </w:tc>
        <w:tc>
          <w:tcPr>
            <w:tcW w:w="1340" w:type="dxa"/>
          </w:tcPr>
          <w:p w14:paraId="349BB6B3" w14:textId="77777777" w:rsidR="003D2DBC" w:rsidRDefault="003D2DBC" w:rsidP="00746855">
            <w:pPr>
              <w:pStyle w:val="BodyText"/>
              <w:jc w:val="center"/>
            </w:pPr>
            <w:r>
              <w:t>Aggressor</w:t>
            </w:r>
          </w:p>
        </w:tc>
        <w:tc>
          <w:tcPr>
            <w:tcW w:w="1167" w:type="dxa"/>
          </w:tcPr>
          <w:p w14:paraId="54BCC013" w14:textId="77777777" w:rsidR="003D2DBC" w:rsidRDefault="003D2DBC" w:rsidP="00746855">
            <w:pPr>
              <w:pStyle w:val="BodyText"/>
              <w:jc w:val="center"/>
            </w:pPr>
            <w:r>
              <w:t>victim</w:t>
            </w:r>
          </w:p>
        </w:tc>
        <w:tc>
          <w:tcPr>
            <w:tcW w:w="3326" w:type="dxa"/>
          </w:tcPr>
          <w:p w14:paraId="68218AF1" w14:textId="77777777" w:rsidR="003D2DBC" w:rsidRDefault="003D2DBC" w:rsidP="00746855">
            <w:pPr>
              <w:pStyle w:val="BodyText"/>
              <w:jc w:val="center"/>
            </w:pPr>
            <w:r>
              <w:t>notes</w:t>
            </w:r>
          </w:p>
        </w:tc>
      </w:tr>
      <w:tr w:rsidR="003D2DBC" w14:paraId="38E14707" w14:textId="77777777" w:rsidTr="003D2DBC">
        <w:tc>
          <w:tcPr>
            <w:tcW w:w="913" w:type="dxa"/>
          </w:tcPr>
          <w:p w14:paraId="37CBF6E7" w14:textId="56846D5E" w:rsidR="003D2DBC" w:rsidRDefault="003D2DBC" w:rsidP="00867A7B">
            <w:pPr>
              <w:pStyle w:val="BodyText"/>
              <w:jc w:val="center"/>
              <w:rPr>
                <w:rFonts w:eastAsiaTheme="minorEastAsia"/>
                <w:lang w:eastAsia="zh-CN"/>
              </w:rPr>
            </w:pPr>
            <w:r>
              <w:rPr>
                <w:rFonts w:eastAsiaTheme="minorEastAsia"/>
                <w:lang w:eastAsia="zh-CN"/>
              </w:rPr>
              <w:t>Group 1</w:t>
            </w:r>
          </w:p>
        </w:tc>
        <w:tc>
          <w:tcPr>
            <w:tcW w:w="1012" w:type="dxa"/>
          </w:tcPr>
          <w:p w14:paraId="3E6784BD" w14:textId="642D4564" w:rsidR="003D2DBC" w:rsidRPr="004D41B0" w:rsidRDefault="003D2DBC" w:rsidP="00867A7B">
            <w:pPr>
              <w:pStyle w:val="BodyText"/>
              <w:jc w:val="center"/>
              <w:rPr>
                <w:rFonts w:eastAsiaTheme="minorEastAsia"/>
                <w:b/>
                <w:bCs/>
                <w:lang w:val="en-US" w:eastAsia="zh-CN"/>
              </w:rPr>
            </w:pPr>
            <w:r>
              <w:rPr>
                <w:rFonts w:eastAsiaTheme="minorEastAsia" w:hint="eastAsia"/>
                <w:lang w:eastAsia="zh-CN"/>
              </w:rPr>
              <w:t xml:space="preserve">1, </w:t>
            </w:r>
            <w:r>
              <w:t>5</w:t>
            </w:r>
            <w:r>
              <w:rPr>
                <w:rFonts w:eastAsiaTheme="minorEastAsia" w:hint="eastAsia"/>
                <w:lang w:eastAsia="zh-CN"/>
              </w:rPr>
              <w:t>, 9, 13</w:t>
            </w:r>
          </w:p>
        </w:tc>
        <w:tc>
          <w:tcPr>
            <w:tcW w:w="1205" w:type="dxa"/>
          </w:tcPr>
          <w:p w14:paraId="245C1ACF" w14:textId="77777777" w:rsidR="003D2DBC" w:rsidRDefault="003D2DBC" w:rsidP="00746855">
            <w:pPr>
              <w:pStyle w:val="BodyText"/>
              <w:jc w:val="center"/>
              <w:rPr>
                <w:b/>
                <w:bCs/>
                <w:lang w:val="en-US"/>
              </w:rPr>
            </w:pPr>
            <w:r>
              <w:t>DL (R2D)</w:t>
            </w:r>
          </w:p>
        </w:tc>
        <w:tc>
          <w:tcPr>
            <w:tcW w:w="1340" w:type="dxa"/>
          </w:tcPr>
          <w:p w14:paraId="7C7D29FF" w14:textId="77777777" w:rsidR="003D2DBC" w:rsidRDefault="003D2DBC" w:rsidP="00746855">
            <w:pPr>
              <w:pStyle w:val="BodyText"/>
              <w:jc w:val="center"/>
              <w:rPr>
                <w:b/>
                <w:bCs/>
                <w:lang w:val="en-US"/>
              </w:rPr>
            </w:pPr>
            <w:r>
              <w:t>A-IoT reader</w:t>
            </w:r>
          </w:p>
        </w:tc>
        <w:tc>
          <w:tcPr>
            <w:tcW w:w="1167" w:type="dxa"/>
          </w:tcPr>
          <w:p w14:paraId="68C121AE" w14:textId="77777777" w:rsidR="003D2DBC" w:rsidRDefault="003D2DBC" w:rsidP="00746855">
            <w:pPr>
              <w:pStyle w:val="BodyText"/>
              <w:jc w:val="center"/>
              <w:rPr>
                <w:b/>
                <w:bCs/>
                <w:lang w:val="en-US"/>
              </w:rPr>
            </w:pPr>
            <w:r>
              <w:t>NR UE</w:t>
            </w:r>
          </w:p>
        </w:tc>
        <w:tc>
          <w:tcPr>
            <w:tcW w:w="3326" w:type="dxa"/>
          </w:tcPr>
          <w:p w14:paraId="54360EC4" w14:textId="77777777" w:rsidR="003D2DBC" w:rsidRDefault="003D2DBC" w:rsidP="00746855">
            <w:pPr>
              <w:pStyle w:val="BodyText"/>
              <w:jc w:val="center"/>
            </w:pPr>
            <w:r>
              <w:t>Derive the AIoT reader ACLR, which can be down-prioritized if it is assumed to be similar to NR BS</w:t>
            </w:r>
          </w:p>
        </w:tc>
      </w:tr>
      <w:tr w:rsidR="003D2DBC" w14:paraId="1B5DC9B0" w14:textId="77777777" w:rsidTr="003D2DBC">
        <w:tc>
          <w:tcPr>
            <w:tcW w:w="913" w:type="dxa"/>
          </w:tcPr>
          <w:p w14:paraId="2A9F0172" w14:textId="622C1A0A" w:rsidR="003D2DBC" w:rsidRDefault="003D2DBC" w:rsidP="003D2DBC">
            <w:pPr>
              <w:pStyle w:val="BodyText"/>
              <w:jc w:val="center"/>
              <w:rPr>
                <w:rFonts w:eastAsiaTheme="minorEastAsia"/>
                <w:lang w:eastAsia="zh-CN"/>
              </w:rPr>
            </w:pPr>
            <w:r>
              <w:rPr>
                <w:rFonts w:eastAsiaTheme="minorEastAsia"/>
                <w:lang w:eastAsia="zh-CN"/>
              </w:rPr>
              <w:t>Group 2</w:t>
            </w:r>
          </w:p>
        </w:tc>
        <w:tc>
          <w:tcPr>
            <w:tcW w:w="1012" w:type="dxa"/>
          </w:tcPr>
          <w:p w14:paraId="356E9882" w14:textId="7ACD2205" w:rsidR="003D2DBC" w:rsidRPr="004D41B0" w:rsidRDefault="003D2DBC" w:rsidP="003D2DBC">
            <w:pPr>
              <w:pStyle w:val="BodyText"/>
              <w:jc w:val="center"/>
              <w:rPr>
                <w:rFonts w:eastAsiaTheme="minorEastAsia"/>
                <w:b/>
                <w:bCs/>
                <w:lang w:val="en-US" w:eastAsia="zh-CN"/>
              </w:rPr>
            </w:pPr>
            <w:r>
              <w:rPr>
                <w:rFonts w:eastAsiaTheme="minorEastAsia" w:hint="eastAsia"/>
                <w:lang w:eastAsia="zh-CN"/>
              </w:rPr>
              <w:t xml:space="preserve">2, </w:t>
            </w:r>
            <w:r>
              <w:t>6</w:t>
            </w:r>
            <w:r>
              <w:rPr>
                <w:rFonts w:eastAsiaTheme="minorEastAsia" w:hint="eastAsia"/>
                <w:lang w:eastAsia="zh-CN"/>
              </w:rPr>
              <w:t>, 10 ,14</w:t>
            </w:r>
          </w:p>
        </w:tc>
        <w:tc>
          <w:tcPr>
            <w:tcW w:w="1205" w:type="dxa"/>
          </w:tcPr>
          <w:p w14:paraId="6EDD7935" w14:textId="77777777" w:rsidR="003D2DBC" w:rsidRDefault="003D2DBC" w:rsidP="003D2DBC">
            <w:pPr>
              <w:pStyle w:val="BodyText"/>
              <w:jc w:val="center"/>
              <w:rPr>
                <w:b/>
                <w:bCs/>
                <w:lang w:val="en-US"/>
              </w:rPr>
            </w:pPr>
            <w:r>
              <w:t>DL (R2D)</w:t>
            </w:r>
          </w:p>
        </w:tc>
        <w:tc>
          <w:tcPr>
            <w:tcW w:w="1340" w:type="dxa"/>
          </w:tcPr>
          <w:p w14:paraId="417FD91F" w14:textId="77777777" w:rsidR="003D2DBC" w:rsidRDefault="003D2DBC" w:rsidP="003D2DBC">
            <w:pPr>
              <w:pStyle w:val="BodyText"/>
              <w:jc w:val="center"/>
              <w:rPr>
                <w:b/>
                <w:bCs/>
                <w:lang w:val="en-US"/>
              </w:rPr>
            </w:pPr>
            <w:r>
              <w:t>NR BS</w:t>
            </w:r>
          </w:p>
        </w:tc>
        <w:tc>
          <w:tcPr>
            <w:tcW w:w="1167" w:type="dxa"/>
          </w:tcPr>
          <w:p w14:paraId="60B93F45" w14:textId="77777777" w:rsidR="003D2DBC" w:rsidRDefault="003D2DBC" w:rsidP="003D2DBC">
            <w:pPr>
              <w:pStyle w:val="BodyText"/>
              <w:jc w:val="center"/>
              <w:rPr>
                <w:b/>
                <w:bCs/>
                <w:lang w:val="en-US"/>
              </w:rPr>
            </w:pPr>
            <w:r>
              <w:t>AIoT device</w:t>
            </w:r>
          </w:p>
        </w:tc>
        <w:tc>
          <w:tcPr>
            <w:tcW w:w="3326" w:type="dxa"/>
          </w:tcPr>
          <w:p w14:paraId="3DBD1F12" w14:textId="77777777" w:rsidR="003D2DBC" w:rsidRDefault="003D2DBC" w:rsidP="003D2DBC">
            <w:pPr>
              <w:pStyle w:val="BodyText"/>
              <w:jc w:val="center"/>
            </w:pPr>
            <w:r>
              <w:t>Derive the AIoT device ACS</w:t>
            </w:r>
          </w:p>
        </w:tc>
      </w:tr>
      <w:tr w:rsidR="003D2DBC" w14:paraId="0149C714" w14:textId="77777777" w:rsidTr="003D2DBC">
        <w:tc>
          <w:tcPr>
            <w:tcW w:w="913" w:type="dxa"/>
          </w:tcPr>
          <w:p w14:paraId="3008EF07" w14:textId="1B85C550" w:rsidR="003D2DBC" w:rsidRDefault="003D2DBC" w:rsidP="003D2DBC">
            <w:pPr>
              <w:pStyle w:val="BodyText"/>
              <w:jc w:val="center"/>
              <w:rPr>
                <w:rFonts w:eastAsiaTheme="minorEastAsia"/>
                <w:lang w:eastAsia="zh-CN"/>
              </w:rPr>
            </w:pPr>
            <w:r>
              <w:rPr>
                <w:rFonts w:eastAsiaTheme="minorEastAsia"/>
                <w:lang w:eastAsia="zh-CN"/>
              </w:rPr>
              <w:lastRenderedPageBreak/>
              <w:t>Group 3</w:t>
            </w:r>
          </w:p>
        </w:tc>
        <w:tc>
          <w:tcPr>
            <w:tcW w:w="1012" w:type="dxa"/>
          </w:tcPr>
          <w:p w14:paraId="780F17BC" w14:textId="5A3B4D14" w:rsidR="003D2DBC" w:rsidRPr="004D41B0" w:rsidRDefault="003D2DBC" w:rsidP="003D2DBC">
            <w:pPr>
              <w:pStyle w:val="BodyText"/>
              <w:jc w:val="center"/>
              <w:rPr>
                <w:rFonts w:eastAsiaTheme="minorEastAsia"/>
                <w:b/>
                <w:bCs/>
                <w:lang w:val="en-US" w:eastAsia="zh-CN"/>
              </w:rPr>
            </w:pPr>
            <w:r>
              <w:rPr>
                <w:rFonts w:eastAsiaTheme="minorEastAsia" w:hint="eastAsia"/>
                <w:lang w:eastAsia="zh-CN"/>
              </w:rPr>
              <w:t xml:space="preserve">3, </w:t>
            </w:r>
            <w:r>
              <w:t>7</w:t>
            </w:r>
            <w:r>
              <w:rPr>
                <w:rFonts w:eastAsiaTheme="minorEastAsia" w:hint="eastAsia"/>
                <w:lang w:eastAsia="zh-CN"/>
              </w:rPr>
              <w:t>, 11, 15</w:t>
            </w:r>
          </w:p>
        </w:tc>
        <w:tc>
          <w:tcPr>
            <w:tcW w:w="1205" w:type="dxa"/>
          </w:tcPr>
          <w:p w14:paraId="760E8D57" w14:textId="77777777" w:rsidR="003D2DBC" w:rsidRDefault="003D2DBC" w:rsidP="003D2DBC">
            <w:pPr>
              <w:pStyle w:val="BodyText"/>
              <w:jc w:val="center"/>
              <w:rPr>
                <w:b/>
                <w:bCs/>
                <w:lang w:val="en-US"/>
              </w:rPr>
            </w:pPr>
            <w:r>
              <w:t>UL (D2R)</w:t>
            </w:r>
          </w:p>
        </w:tc>
        <w:tc>
          <w:tcPr>
            <w:tcW w:w="1340" w:type="dxa"/>
          </w:tcPr>
          <w:p w14:paraId="27514129" w14:textId="77777777" w:rsidR="003D2DBC" w:rsidRDefault="003D2DBC" w:rsidP="003D2DBC">
            <w:pPr>
              <w:pStyle w:val="BodyText"/>
              <w:jc w:val="center"/>
              <w:rPr>
                <w:b/>
                <w:bCs/>
                <w:lang w:val="en-US"/>
              </w:rPr>
            </w:pPr>
            <w:r>
              <w:t>AIoT device</w:t>
            </w:r>
          </w:p>
        </w:tc>
        <w:tc>
          <w:tcPr>
            <w:tcW w:w="1167" w:type="dxa"/>
          </w:tcPr>
          <w:p w14:paraId="733D93CA" w14:textId="77777777" w:rsidR="003D2DBC" w:rsidRDefault="003D2DBC" w:rsidP="003D2DBC">
            <w:pPr>
              <w:pStyle w:val="BodyText"/>
              <w:jc w:val="center"/>
              <w:rPr>
                <w:b/>
                <w:bCs/>
                <w:lang w:val="en-US"/>
              </w:rPr>
            </w:pPr>
            <w:r>
              <w:t>NR BS</w:t>
            </w:r>
          </w:p>
        </w:tc>
        <w:tc>
          <w:tcPr>
            <w:tcW w:w="3326" w:type="dxa"/>
          </w:tcPr>
          <w:p w14:paraId="1C5B9AAE" w14:textId="28CD27E0" w:rsidR="003D2DBC" w:rsidRDefault="003D2DBC" w:rsidP="003D2DBC">
            <w:pPr>
              <w:pStyle w:val="BodyText"/>
              <w:jc w:val="center"/>
            </w:pPr>
            <w:r>
              <w:t>Derive the AIoT device ACLR</w:t>
            </w:r>
          </w:p>
        </w:tc>
      </w:tr>
      <w:tr w:rsidR="003D2DBC" w14:paraId="2998824B" w14:textId="77777777" w:rsidTr="003D2DBC">
        <w:tc>
          <w:tcPr>
            <w:tcW w:w="913" w:type="dxa"/>
          </w:tcPr>
          <w:p w14:paraId="3B75702C" w14:textId="764201D8" w:rsidR="003D2DBC" w:rsidRDefault="003D2DBC" w:rsidP="003D2DBC">
            <w:pPr>
              <w:pStyle w:val="BodyText"/>
              <w:jc w:val="center"/>
              <w:rPr>
                <w:rFonts w:eastAsiaTheme="minorEastAsia"/>
                <w:lang w:eastAsia="zh-CN"/>
              </w:rPr>
            </w:pPr>
            <w:r>
              <w:rPr>
                <w:rFonts w:eastAsiaTheme="minorEastAsia"/>
                <w:lang w:eastAsia="zh-CN"/>
              </w:rPr>
              <w:t>Group 4</w:t>
            </w:r>
          </w:p>
        </w:tc>
        <w:tc>
          <w:tcPr>
            <w:tcW w:w="1012" w:type="dxa"/>
          </w:tcPr>
          <w:p w14:paraId="0666F0C8" w14:textId="13D05C66" w:rsidR="003D2DBC" w:rsidRPr="004D41B0" w:rsidRDefault="003D2DBC" w:rsidP="003D2DBC">
            <w:pPr>
              <w:pStyle w:val="BodyText"/>
              <w:jc w:val="center"/>
              <w:rPr>
                <w:rFonts w:eastAsiaTheme="minorEastAsia"/>
                <w:b/>
                <w:bCs/>
                <w:lang w:val="en-US" w:eastAsia="zh-CN"/>
              </w:rPr>
            </w:pPr>
            <w:r>
              <w:rPr>
                <w:rFonts w:eastAsiaTheme="minorEastAsia" w:hint="eastAsia"/>
                <w:lang w:eastAsia="zh-CN"/>
              </w:rPr>
              <w:t xml:space="preserve">4, </w:t>
            </w:r>
            <w:r>
              <w:t>8</w:t>
            </w:r>
            <w:r>
              <w:rPr>
                <w:rFonts w:eastAsiaTheme="minorEastAsia" w:hint="eastAsia"/>
                <w:lang w:eastAsia="zh-CN"/>
              </w:rPr>
              <w:t>, 12, 16</w:t>
            </w:r>
          </w:p>
        </w:tc>
        <w:tc>
          <w:tcPr>
            <w:tcW w:w="1205" w:type="dxa"/>
          </w:tcPr>
          <w:p w14:paraId="362FEA12" w14:textId="77777777" w:rsidR="003D2DBC" w:rsidRDefault="003D2DBC" w:rsidP="003D2DBC">
            <w:pPr>
              <w:pStyle w:val="BodyText"/>
              <w:jc w:val="center"/>
              <w:rPr>
                <w:b/>
                <w:bCs/>
                <w:lang w:val="en-US"/>
              </w:rPr>
            </w:pPr>
            <w:r>
              <w:t>UL (D2R)</w:t>
            </w:r>
          </w:p>
        </w:tc>
        <w:tc>
          <w:tcPr>
            <w:tcW w:w="1340" w:type="dxa"/>
          </w:tcPr>
          <w:p w14:paraId="67338977" w14:textId="77777777" w:rsidR="003D2DBC" w:rsidRDefault="003D2DBC" w:rsidP="003D2DBC">
            <w:pPr>
              <w:pStyle w:val="BodyText"/>
              <w:jc w:val="center"/>
              <w:rPr>
                <w:b/>
                <w:bCs/>
                <w:lang w:val="en-US"/>
              </w:rPr>
            </w:pPr>
            <w:r>
              <w:t>NR UE</w:t>
            </w:r>
          </w:p>
        </w:tc>
        <w:tc>
          <w:tcPr>
            <w:tcW w:w="1167" w:type="dxa"/>
          </w:tcPr>
          <w:p w14:paraId="3F2D7B6A" w14:textId="77777777" w:rsidR="003D2DBC" w:rsidRDefault="003D2DBC" w:rsidP="003D2DBC">
            <w:pPr>
              <w:pStyle w:val="BodyText"/>
              <w:jc w:val="center"/>
              <w:rPr>
                <w:b/>
                <w:bCs/>
                <w:lang w:val="en-US"/>
              </w:rPr>
            </w:pPr>
            <w:r>
              <w:t>A-IoT reader</w:t>
            </w:r>
          </w:p>
        </w:tc>
        <w:tc>
          <w:tcPr>
            <w:tcW w:w="3326" w:type="dxa"/>
          </w:tcPr>
          <w:p w14:paraId="4EE45B89" w14:textId="77777777" w:rsidR="003D2DBC" w:rsidRDefault="003D2DBC" w:rsidP="003D2DBC">
            <w:pPr>
              <w:pStyle w:val="BodyText"/>
              <w:jc w:val="center"/>
            </w:pPr>
            <w:r>
              <w:t>Derive the AIoT reader ACS</w:t>
            </w:r>
          </w:p>
        </w:tc>
      </w:tr>
    </w:tbl>
    <w:p w14:paraId="5ACB43D2" w14:textId="77777777" w:rsidR="00097300" w:rsidRDefault="00097300" w:rsidP="00097300">
      <w:pPr>
        <w:pStyle w:val="BodyText"/>
        <w:rPr>
          <w:b/>
          <w:bCs/>
          <w:lang w:val="en-US"/>
        </w:rPr>
      </w:pPr>
    </w:p>
    <w:p w14:paraId="42F5C18E" w14:textId="5880A04A" w:rsidR="00097300" w:rsidRDefault="003D2DBC" w:rsidP="00097300">
      <w:pPr>
        <w:pStyle w:val="BodyText"/>
        <w:jc w:val="both"/>
        <w:rPr>
          <w:lang w:val="en-US"/>
        </w:rPr>
      </w:pPr>
      <w:r>
        <w:rPr>
          <w:lang w:val="en-US"/>
        </w:rPr>
        <w:t>Group 1</w:t>
      </w:r>
      <w:r w:rsidR="00097300">
        <w:rPr>
          <w:lang w:val="en-US"/>
        </w:rPr>
        <w:t xml:space="preserve"> are to be studied to derive the required ACLR of AIoT readers. </w:t>
      </w:r>
      <w:r w:rsidR="00BD495C">
        <w:rPr>
          <w:lang w:val="en-US"/>
        </w:rPr>
        <w:t>For AIoT reader, it can be assumed that the ACLR performance would be similar to</w:t>
      </w:r>
      <w:r w:rsidR="00097300" w:rsidRPr="007819FC">
        <w:rPr>
          <w:lang w:val="en-US"/>
        </w:rPr>
        <w:t xml:space="preserve"> </w:t>
      </w:r>
      <w:r w:rsidR="00097300">
        <w:rPr>
          <w:lang w:val="en-US"/>
        </w:rPr>
        <w:t xml:space="preserve">a </w:t>
      </w:r>
      <w:r w:rsidR="00097300" w:rsidRPr="007819FC">
        <w:rPr>
          <w:lang w:val="en-US"/>
        </w:rPr>
        <w:t>NR BS</w:t>
      </w:r>
      <w:r w:rsidR="00097300">
        <w:rPr>
          <w:lang w:val="en-US"/>
        </w:rPr>
        <w:t xml:space="preserve"> </w:t>
      </w:r>
      <w:r w:rsidR="00BD495C">
        <w:rPr>
          <w:lang w:val="en-US"/>
        </w:rPr>
        <w:t>since</w:t>
      </w:r>
      <w:r w:rsidR="00097300">
        <w:rPr>
          <w:lang w:val="en-US"/>
        </w:rPr>
        <w:t xml:space="preserve"> it</w:t>
      </w:r>
      <w:r w:rsidR="00B74D98">
        <w:rPr>
          <w:lang w:val="en-US"/>
        </w:rPr>
        <w:t xml:space="preserve"> should be able to co-site with NR BS and it</w:t>
      </w:r>
      <w:r w:rsidR="00097300">
        <w:rPr>
          <w:lang w:val="en-US"/>
        </w:rPr>
        <w:t xml:space="preserve"> also transmits with an OFDM waveform (e.g., </w:t>
      </w:r>
      <w:r w:rsidR="00097300" w:rsidRPr="00A82F04">
        <w:rPr>
          <w:lang w:val="en-US"/>
        </w:rPr>
        <w:t>OOK waveform generated by OFDM modulator</w:t>
      </w:r>
      <w:r w:rsidR="00097300">
        <w:rPr>
          <w:lang w:val="en-US"/>
        </w:rPr>
        <w:t>)</w:t>
      </w:r>
      <w:r w:rsidR="00B74D98">
        <w:rPr>
          <w:lang w:val="en-US"/>
        </w:rPr>
        <w:t xml:space="preserve">. </w:t>
      </w:r>
      <w:r w:rsidR="008E6B78">
        <w:rPr>
          <w:lang w:val="en-US"/>
        </w:rPr>
        <w:t>Therefore, this</w:t>
      </w:r>
      <w:r w:rsidR="00097300" w:rsidRPr="007819FC">
        <w:rPr>
          <w:lang w:val="en-US"/>
        </w:rPr>
        <w:t xml:space="preserve"> case can be down prioritized </w:t>
      </w:r>
      <w:r w:rsidR="00097300">
        <w:rPr>
          <w:lang w:val="en-US"/>
        </w:rPr>
        <w:t xml:space="preserve">since it will be basically the same as intra NR system coexistence and the coexistence can be guaranteed by defining the SEM and ACLR requirements for AIoT reader to be the same as NR BS. </w:t>
      </w:r>
    </w:p>
    <w:p w14:paraId="386130BD" w14:textId="0853D50E" w:rsidR="008E6B78" w:rsidRPr="00936DB0" w:rsidRDefault="008E6B78" w:rsidP="00097300">
      <w:pPr>
        <w:pStyle w:val="BodyText"/>
        <w:jc w:val="both"/>
        <w:rPr>
          <w:rFonts w:eastAsiaTheme="minorEastAsia"/>
          <w:b/>
          <w:bCs/>
          <w:lang w:val="en-US" w:eastAsia="zh-CN"/>
        </w:rPr>
      </w:pPr>
      <w:r w:rsidRPr="00936DB0">
        <w:rPr>
          <w:b/>
          <w:bCs/>
          <w:lang w:val="en-US"/>
        </w:rPr>
        <w:t xml:space="preserve">Observation 1: </w:t>
      </w:r>
      <w:r w:rsidR="003D2DBC" w:rsidRPr="00936DB0">
        <w:rPr>
          <w:rFonts w:eastAsiaTheme="minorEastAsia"/>
          <w:b/>
          <w:bCs/>
          <w:lang w:val="en-US" w:eastAsia="zh-CN"/>
        </w:rPr>
        <w:t xml:space="preserve">it can be assumed the ACLR </w:t>
      </w:r>
      <w:r w:rsidR="005F7270" w:rsidRPr="00936DB0">
        <w:rPr>
          <w:rFonts w:eastAsiaTheme="minorEastAsia"/>
          <w:b/>
          <w:bCs/>
          <w:lang w:val="en-US" w:eastAsia="zh-CN"/>
        </w:rPr>
        <w:t>performance of AIoT reader is similar to NR BS</w:t>
      </w:r>
      <w:r w:rsidR="00936DB0" w:rsidRPr="00936DB0">
        <w:rPr>
          <w:rFonts w:eastAsiaTheme="minorEastAsia"/>
          <w:b/>
          <w:bCs/>
          <w:lang w:val="en-US" w:eastAsia="zh-CN"/>
        </w:rPr>
        <w:t>.</w:t>
      </w:r>
    </w:p>
    <w:p w14:paraId="7B2B5B7D" w14:textId="3EEEBDD4" w:rsidR="00936DB0" w:rsidRDefault="00936DB0" w:rsidP="00097300">
      <w:pPr>
        <w:pStyle w:val="BodyText"/>
        <w:jc w:val="both"/>
        <w:rPr>
          <w:rFonts w:eastAsiaTheme="minorEastAsia"/>
          <w:b/>
          <w:bCs/>
          <w:lang w:val="en-US" w:eastAsia="zh-CN"/>
        </w:rPr>
      </w:pPr>
      <w:r w:rsidRPr="00936DB0">
        <w:rPr>
          <w:rFonts w:eastAsiaTheme="minorEastAsia"/>
          <w:b/>
          <w:bCs/>
          <w:lang w:val="en-US" w:eastAsia="zh-CN"/>
        </w:rPr>
        <w:t xml:space="preserve">Proposal 1: down prioritize the co-existence on AIoT reader as aggressor to NR UE. </w:t>
      </w:r>
    </w:p>
    <w:p w14:paraId="3DFFD3CE" w14:textId="338AC322" w:rsidR="004B3A66" w:rsidRPr="00B21211" w:rsidRDefault="004B3A66" w:rsidP="00097300">
      <w:pPr>
        <w:pStyle w:val="BodyText"/>
        <w:jc w:val="both"/>
        <w:rPr>
          <w:rFonts w:eastAsiaTheme="minorEastAsia"/>
          <w:lang w:val="en-US" w:eastAsia="zh-CN"/>
        </w:rPr>
      </w:pPr>
      <w:r w:rsidRPr="00B21211">
        <w:rPr>
          <w:rFonts w:eastAsiaTheme="minorEastAsia"/>
          <w:lang w:val="en-US" w:eastAsia="zh-CN"/>
        </w:rPr>
        <w:t>Group</w:t>
      </w:r>
      <w:r w:rsidR="000E4A75">
        <w:rPr>
          <w:rFonts w:eastAsiaTheme="minorEastAsia"/>
          <w:lang w:val="en-US" w:eastAsia="zh-CN"/>
        </w:rPr>
        <w:t xml:space="preserve"> </w:t>
      </w:r>
      <w:r w:rsidRPr="00B21211">
        <w:rPr>
          <w:rFonts w:eastAsiaTheme="minorEastAsia"/>
          <w:lang w:val="en-US" w:eastAsia="zh-CN"/>
        </w:rPr>
        <w:t xml:space="preserve">2 </w:t>
      </w:r>
      <w:r w:rsidR="00641274" w:rsidRPr="00B21211">
        <w:rPr>
          <w:rFonts w:eastAsiaTheme="minorEastAsia"/>
          <w:lang w:val="en-US" w:eastAsia="zh-CN"/>
        </w:rPr>
        <w:t>is about investigating the AIoT device ACS requirements. Although, before we consider the inter-system interference between NR and AIoT system, it is necessary to first verify the performance of intra system for AIoT. Our initial simulation results showed in Fig. 1</w:t>
      </w:r>
      <w:r w:rsidR="00212146">
        <w:rPr>
          <w:rFonts w:eastAsiaTheme="minorEastAsia"/>
          <w:lang w:val="en-US" w:eastAsia="zh-CN"/>
        </w:rPr>
        <w:t xml:space="preserve">, where the simulation assumption was based on the agreed WF in [2]. </w:t>
      </w:r>
    </w:p>
    <w:p w14:paraId="20CE9726" w14:textId="162C13AC" w:rsidR="004C01EA" w:rsidRDefault="00A41D23" w:rsidP="00A41D23">
      <w:pPr>
        <w:pStyle w:val="BodyText"/>
        <w:jc w:val="center"/>
        <w:rPr>
          <w:rFonts w:eastAsiaTheme="minorEastAsia"/>
          <w:b/>
          <w:bCs/>
          <w:lang w:val="en-US" w:eastAsia="zh-CN"/>
        </w:rPr>
      </w:pPr>
      <w:r w:rsidRPr="00A41D23">
        <w:rPr>
          <w:rFonts w:eastAsiaTheme="minorEastAsia"/>
          <w:b/>
          <w:bCs/>
          <w:noProof/>
          <w:lang w:eastAsia="zh-CN"/>
        </w:rPr>
        <w:drawing>
          <wp:inline distT="0" distB="0" distL="0" distR="0" wp14:anchorId="33FB67A1" wp14:editId="7D4A68F4">
            <wp:extent cx="5400000" cy="4124602"/>
            <wp:effectExtent l="0" t="0" r="0" b="0"/>
            <wp:docPr id="5" name="Content Placeholder 4" descr="A graph with a line&#10;&#10;AI-generated content may be incorrect.">
              <a:extLst xmlns:a="http://schemas.openxmlformats.org/drawingml/2006/main">
                <a:ext uri="{FF2B5EF4-FFF2-40B4-BE49-F238E27FC236}">
                  <a16:creationId xmlns:a16="http://schemas.microsoft.com/office/drawing/2014/main" id="{1DF609CE-BD64-2694-CB1D-1D5B099B46C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with a line&#10;&#10;AI-generated content may be incorrect.">
                      <a:extLst>
                        <a:ext uri="{FF2B5EF4-FFF2-40B4-BE49-F238E27FC236}">
                          <a16:creationId xmlns:a16="http://schemas.microsoft.com/office/drawing/2014/main" id="{1DF609CE-BD64-2694-CB1D-1D5B099B46C0}"/>
                        </a:ext>
                      </a:extLst>
                    </pic:cNvPr>
                    <pic:cNvPicPr>
                      <a:picLocks noGrp="1" noChangeAspect="1"/>
                    </pic:cNvPicPr>
                  </pic:nvPicPr>
                  <pic:blipFill>
                    <a:blip r:embed="rId11">
                      <a:clrChange>
                        <a:clrFrom>
                          <a:srgbClr val="F0F0F0"/>
                        </a:clrFrom>
                        <a:clrTo>
                          <a:srgbClr val="F0F0F0">
                            <a:alpha val="0"/>
                          </a:srgbClr>
                        </a:clrTo>
                      </a:clrChange>
                    </a:blip>
                    <a:stretch>
                      <a:fillRect/>
                    </a:stretch>
                  </pic:blipFill>
                  <pic:spPr>
                    <a:xfrm>
                      <a:off x="0" y="0"/>
                      <a:ext cx="5400000" cy="4124602"/>
                    </a:xfrm>
                    <a:prstGeom prst="rect">
                      <a:avLst/>
                    </a:prstGeom>
                  </pic:spPr>
                </pic:pic>
              </a:graphicData>
            </a:graphic>
          </wp:inline>
        </w:drawing>
      </w:r>
    </w:p>
    <w:p w14:paraId="622AA975" w14:textId="6EA8B2E8" w:rsidR="00641274" w:rsidRDefault="00641274" w:rsidP="004C01EA">
      <w:pPr>
        <w:pStyle w:val="BodyText"/>
        <w:jc w:val="center"/>
        <w:rPr>
          <w:rFonts w:eastAsiaTheme="minorEastAsia"/>
          <w:b/>
          <w:bCs/>
          <w:lang w:eastAsia="zh-CN"/>
        </w:rPr>
      </w:pPr>
    </w:p>
    <w:p w14:paraId="6D9FC147" w14:textId="5B9FE992" w:rsidR="00721E79" w:rsidRDefault="00721E79" w:rsidP="004C01EA">
      <w:pPr>
        <w:pStyle w:val="BodyText"/>
        <w:jc w:val="center"/>
        <w:rPr>
          <w:rFonts w:eastAsiaTheme="minorEastAsia"/>
          <w:b/>
          <w:bCs/>
          <w:lang w:eastAsia="zh-CN"/>
        </w:rPr>
      </w:pPr>
      <w:r>
        <w:rPr>
          <w:rFonts w:eastAsiaTheme="minorEastAsia"/>
          <w:b/>
          <w:bCs/>
          <w:lang w:eastAsia="zh-CN"/>
        </w:rPr>
        <w:t xml:space="preserve">Figure. 1. The CDF of SINR </w:t>
      </w:r>
      <w:r w:rsidR="002058E1">
        <w:rPr>
          <w:rFonts w:eastAsiaTheme="minorEastAsia"/>
          <w:b/>
          <w:bCs/>
          <w:lang w:eastAsia="zh-CN"/>
        </w:rPr>
        <w:t xml:space="preserve">for R2D without inter system interference. </w:t>
      </w:r>
    </w:p>
    <w:p w14:paraId="629DF990" w14:textId="58866D34" w:rsidR="00946E0B" w:rsidRDefault="00946E0B" w:rsidP="00CD725C">
      <w:pPr>
        <w:pStyle w:val="BodyText"/>
        <w:jc w:val="both"/>
        <w:rPr>
          <w:rFonts w:eastAsiaTheme="minorEastAsia"/>
          <w:lang w:eastAsia="zh-CN"/>
        </w:rPr>
      </w:pPr>
      <w:r w:rsidRPr="00CD725C">
        <w:rPr>
          <w:rFonts w:eastAsiaTheme="minorEastAsia"/>
          <w:lang w:eastAsia="zh-CN"/>
        </w:rPr>
        <w:t xml:space="preserve">Although no clear conclusion on the </w:t>
      </w:r>
      <w:r w:rsidR="009244BC" w:rsidRPr="00CD725C">
        <w:rPr>
          <w:rFonts w:eastAsiaTheme="minorEastAsia"/>
          <w:lang w:eastAsia="zh-CN"/>
        </w:rPr>
        <w:t xml:space="preserve">threshold SINR yet for decoding, but without loss of generality, above 10 dB SINR can be expected. </w:t>
      </w:r>
      <w:r w:rsidR="002058E1" w:rsidRPr="00CD725C">
        <w:rPr>
          <w:rFonts w:eastAsiaTheme="minorEastAsia"/>
          <w:lang w:eastAsia="zh-CN"/>
        </w:rPr>
        <w:t xml:space="preserve">Therefore, around 50% of AIoT devices would be </w:t>
      </w:r>
      <w:r w:rsidR="00B21211" w:rsidRPr="00CD725C">
        <w:rPr>
          <w:rFonts w:eastAsiaTheme="minorEastAsia"/>
          <w:lang w:eastAsia="zh-CN"/>
        </w:rPr>
        <w:t xml:space="preserve">below SINR threshold </w:t>
      </w:r>
      <w:r w:rsidR="00CD725C" w:rsidRPr="00CD725C">
        <w:rPr>
          <w:rFonts w:eastAsiaTheme="minorEastAsia"/>
          <w:lang w:eastAsia="zh-CN"/>
        </w:rPr>
        <w:t xml:space="preserve">with such a assumption. Therefore, it is necessary to consider some mechanism </w:t>
      </w:r>
      <w:r w:rsidR="00366D1B">
        <w:rPr>
          <w:rFonts w:eastAsiaTheme="minorEastAsia"/>
          <w:lang w:eastAsia="zh-CN"/>
        </w:rPr>
        <w:t xml:space="preserve">to </w:t>
      </w:r>
      <w:r w:rsidR="003E2A0C">
        <w:rPr>
          <w:rFonts w:eastAsiaTheme="minorEastAsia"/>
          <w:lang w:eastAsia="zh-CN"/>
        </w:rPr>
        <w:t>improve the</w:t>
      </w:r>
      <w:r w:rsidR="00366D1B">
        <w:rPr>
          <w:rFonts w:eastAsiaTheme="minorEastAsia"/>
          <w:lang w:eastAsia="zh-CN"/>
        </w:rPr>
        <w:t xml:space="preserve"> intra system interference</w:t>
      </w:r>
      <w:r w:rsidR="003E2A0C">
        <w:rPr>
          <w:rFonts w:eastAsiaTheme="minorEastAsia"/>
          <w:lang w:eastAsia="zh-CN"/>
        </w:rPr>
        <w:t xml:space="preserve"> of R2D signals, e.g., TDM or FDM between different readers </w:t>
      </w:r>
      <w:r w:rsidR="003C204D">
        <w:rPr>
          <w:rFonts w:eastAsiaTheme="minorEastAsia"/>
          <w:lang w:eastAsia="zh-CN"/>
        </w:rPr>
        <w:t>and/</w:t>
      </w:r>
      <w:r w:rsidR="003E2A0C">
        <w:rPr>
          <w:rFonts w:eastAsiaTheme="minorEastAsia"/>
          <w:lang w:eastAsia="zh-CN"/>
        </w:rPr>
        <w:t xml:space="preserve">or </w:t>
      </w:r>
      <w:r w:rsidR="003C204D">
        <w:rPr>
          <w:rFonts w:eastAsiaTheme="minorEastAsia"/>
          <w:lang w:eastAsia="zh-CN"/>
        </w:rPr>
        <w:t xml:space="preserve">solution to reduce the SINR decoding threshold needs to be specified. </w:t>
      </w:r>
    </w:p>
    <w:p w14:paraId="317A6D1A" w14:textId="7DC471B2" w:rsidR="00462B1A" w:rsidRPr="00064C17" w:rsidRDefault="00462B1A" w:rsidP="00CD725C">
      <w:pPr>
        <w:pStyle w:val="BodyText"/>
        <w:jc w:val="both"/>
        <w:rPr>
          <w:rFonts w:eastAsiaTheme="minorEastAsia"/>
          <w:b/>
          <w:bCs/>
          <w:lang w:eastAsia="zh-CN"/>
        </w:rPr>
      </w:pPr>
      <w:r w:rsidRPr="00064C17">
        <w:rPr>
          <w:rFonts w:eastAsiaTheme="minorEastAsia"/>
          <w:b/>
          <w:bCs/>
          <w:lang w:eastAsia="zh-CN"/>
        </w:rPr>
        <w:t>Observation</w:t>
      </w:r>
      <w:r w:rsidR="00064C17" w:rsidRPr="00064C17">
        <w:rPr>
          <w:rFonts w:eastAsiaTheme="minorEastAsia"/>
          <w:b/>
          <w:bCs/>
          <w:lang w:eastAsia="zh-CN"/>
        </w:rPr>
        <w:t xml:space="preserve"> 2</w:t>
      </w:r>
      <w:r w:rsidRPr="00064C17">
        <w:rPr>
          <w:rFonts w:eastAsiaTheme="minorEastAsia"/>
          <w:b/>
          <w:bCs/>
          <w:lang w:eastAsia="zh-CN"/>
        </w:rPr>
        <w:t xml:space="preserve">: assuming the R2D SINR decoding threshold in the range </w:t>
      </w:r>
      <w:r w:rsidR="003E2A0C" w:rsidRPr="00064C17">
        <w:rPr>
          <w:rFonts w:eastAsiaTheme="minorEastAsia"/>
          <w:b/>
          <w:bCs/>
          <w:lang w:eastAsia="zh-CN"/>
        </w:rPr>
        <w:t>about 10 dB</w:t>
      </w:r>
      <w:r w:rsidR="00212146" w:rsidRPr="00064C17">
        <w:rPr>
          <w:rFonts w:eastAsiaTheme="minorEastAsia"/>
          <w:b/>
          <w:bCs/>
          <w:lang w:eastAsia="zh-CN"/>
        </w:rPr>
        <w:t xml:space="preserve">, </w:t>
      </w:r>
      <w:r w:rsidR="003C204D" w:rsidRPr="00064C17">
        <w:rPr>
          <w:rFonts w:eastAsiaTheme="minorEastAsia"/>
          <w:b/>
          <w:bCs/>
          <w:lang w:eastAsia="zh-CN"/>
        </w:rPr>
        <w:t xml:space="preserve">around </w:t>
      </w:r>
      <w:r w:rsidR="00212146" w:rsidRPr="00064C17">
        <w:rPr>
          <w:rFonts w:eastAsiaTheme="minorEastAsia"/>
          <w:b/>
          <w:bCs/>
          <w:lang w:eastAsia="zh-CN"/>
        </w:rPr>
        <w:t xml:space="preserve">50% </w:t>
      </w:r>
      <w:r w:rsidR="003C204D" w:rsidRPr="00064C17">
        <w:rPr>
          <w:rFonts w:eastAsiaTheme="minorEastAsia"/>
          <w:b/>
          <w:bCs/>
          <w:lang w:eastAsia="zh-CN"/>
        </w:rPr>
        <w:t xml:space="preserve">AIoT devices would be below such a threshold. </w:t>
      </w:r>
    </w:p>
    <w:p w14:paraId="579D1612" w14:textId="2877619D" w:rsidR="003C204D" w:rsidRDefault="003C204D" w:rsidP="00CD725C">
      <w:pPr>
        <w:pStyle w:val="BodyText"/>
        <w:jc w:val="both"/>
        <w:rPr>
          <w:rFonts w:eastAsiaTheme="minorEastAsia"/>
          <w:b/>
          <w:bCs/>
          <w:lang w:eastAsia="zh-CN"/>
        </w:rPr>
      </w:pPr>
      <w:r w:rsidRPr="003C204D">
        <w:rPr>
          <w:rFonts w:eastAsiaTheme="minorEastAsia"/>
          <w:b/>
          <w:bCs/>
          <w:lang w:eastAsia="zh-CN"/>
        </w:rPr>
        <w:t xml:space="preserve">Proposal 2: </w:t>
      </w:r>
      <w:r w:rsidR="006C6BCF">
        <w:rPr>
          <w:rFonts w:eastAsiaTheme="minorEastAsia"/>
          <w:b/>
          <w:bCs/>
          <w:lang w:eastAsia="zh-CN"/>
        </w:rPr>
        <w:t xml:space="preserve">RAN 4 shall study </w:t>
      </w:r>
      <w:r w:rsidRPr="003C204D">
        <w:rPr>
          <w:rFonts w:eastAsiaTheme="minorEastAsia"/>
          <w:b/>
          <w:bCs/>
          <w:lang w:eastAsia="zh-CN"/>
        </w:rPr>
        <w:t>mechanism</w:t>
      </w:r>
      <w:r>
        <w:rPr>
          <w:rFonts w:eastAsiaTheme="minorEastAsia"/>
          <w:b/>
          <w:bCs/>
          <w:lang w:eastAsia="zh-CN"/>
        </w:rPr>
        <w:t>s</w:t>
      </w:r>
      <w:r w:rsidRPr="003C204D">
        <w:rPr>
          <w:rFonts w:eastAsiaTheme="minorEastAsia"/>
          <w:b/>
          <w:bCs/>
          <w:lang w:eastAsia="zh-CN"/>
        </w:rPr>
        <w:t xml:space="preserve"> to </w:t>
      </w:r>
      <w:r w:rsidR="00B358EA">
        <w:rPr>
          <w:rFonts w:eastAsiaTheme="minorEastAsia"/>
          <w:b/>
          <w:bCs/>
          <w:lang w:eastAsia="zh-CN"/>
        </w:rPr>
        <w:t>reduce</w:t>
      </w:r>
      <w:r w:rsidRPr="003C204D">
        <w:rPr>
          <w:rFonts w:eastAsiaTheme="minorEastAsia"/>
          <w:b/>
          <w:bCs/>
          <w:lang w:eastAsia="zh-CN"/>
        </w:rPr>
        <w:t xml:space="preserve"> the intra system interference, e.g., TDM or FDM between different readers.</w:t>
      </w:r>
    </w:p>
    <w:p w14:paraId="7358D97E" w14:textId="2D778605" w:rsidR="00064C17" w:rsidRDefault="0047111D" w:rsidP="00CD725C">
      <w:pPr>
        <w:pStyle w:val="BodyText"/>
        <w:jc w:val="both"/>
        <w:rPr>
          <w:rFonts w:eastAsiaTheme="minorEastAsia"/>
          <w:lang w:eastAsia="zh-CN"/>
        </w:rPr>
      </w:pPr>
      <w:r w:rsidRPr="0047111D">
        <w:rPr>
          <w:rFonts w:eastAsiaTheme="minorEastAsia"/>
          <w:lang w:eastAsia="zh-CN"/>
        </w:rPr>
        <w:t>Group 3 is mainly focus on deriving the AIoT device ACLR</w:t>
      </w:r>
      <w:r w:rsidR="006532A8">
        <w:rPr>
          <w:rFonts w:eastAsiaTheme="minorEastAsia"/>
          <w:lang w:eastAsia="zh-CN"/>
        </w:rPr>
        <w:t>, to minimize its impact to NR system. It is proposed</w:t>
      </w:r>
      <w:r w:rsidR="00757E16">
        <w:rPr>
          <w:rFonts w:eastAsiaTheme="minorEastAsia"/>
          <w:lang w:eastAsia="zh-CN"/>
        </w:rPr>
        <w:t xml:space="preserve"> to consider the </w:t>
      </w:r>
      <w:r w:rsidR="00940E25">
        <w:rPr>
          <w:rFonts w:eastAsiaTheme="minorEastAsia"/>
          <w:lang w:eastAsia="zh-CN"/>
        </w:rPr>
        <w:t xml:space="preserve">5% </w:t>
      </w:r>
      <w:r w:rsidR="00757E16">
        <w:rPr>
          <w:rFonts w:eastAsiaTheme="minorEastAsia"/>
          <w:lang w:eastAsia="zh-CN"/>
        </w:rPr>
        <w:t>TP loss of NR system</w:t>
      </w:r>
      <w:r w:rsidR="00940E25">
        <w:rPr>
          <w:rFonts w:eastAsiaTheme="minorEastAsia"/>
          <w:lang w:eastAsia="zh-CN"/>
        </w:rPr>
        <w:t xml:space="preserve"> as the performance metric to evaluate the needed ACLR level of AIoT devices. </w:t>
      </w:r>
    </w:p>
    <w:p w14:paraId="06888357" w14:textId="4A4FC087" w:rsidR="00940E25" w:rsidRDefault="00940E25" w:rsidP="00CD725C">
      <w:pPr>
        <w:pStyle w:val="BodyText"/>
        <w:jc w:val="both"/>
        <w:rPr>
          <w:rFonts w:eastAsiaTheme="minorEastAsia"/>
          <w:b/>
          <w:bCs/>
          <w:lang w:eastAsia="zh-CN"/>
        </w:rPr>
      </w:pPr>
      <w:r w:rsidRPr="00940E25">
        <w:rPr>
          <w:rFonts w:eastAsiaTheme="minorEastAsia"/>
          <w:b/>
          <w:bCs/>
          <w:lang w:eastAsia="zh-CN"/>
        </w:rPr>
        <w:lastRenderedPageBreak/>
        <w:t>Proposal 3: considering the 5% TP loss of NR system as the performance metric to evaluate the needed ACLR level of AIoT devices.</w:t>
      </w:r>
    </w:p>
    <w:p w14:paraId="05049E17" w14:textId="1B6044C9" w:rsidR="0029169E" w:rsidRPr="00292D56" w:rsidRDefault="0029169E" w:rsidP="00CD725C">
      <w:pPr>
        <w:pStyle w:val="BodyText"/>
        <w:jc w:val="both"/>
        <w:rPr>
          <w:rFonts w:eastAsiaTheme="minorEastAsia"/>
          <w:lang w:eastAsia="zh-CN"/>
        </w:rPr>
      </w:pPr>
      <w:r w:rsidRPr="00292D56">
        <w:rPr>
          <w:rFonts w:eastAsiaTheme="minorEastAsia"/>
          <w:lang w:eastAsia="zh-CN"/>
        </w:rPr>
        <w:t xml:space="preserve">Finally, for the simulation case in group 4, </w:t>
      </w:r>
      <w:r w:rsidR="00D44648" w:rsidRPr="00292D56">
        <w:rPr>
          <w:rFonts w:eastAsiaTheme="minorEastAsia"/>
          <w:lang w:eastAsia="zh-CN"/>
        </w:rPr>
        <w:t xml:space="preserve">which aims to derive AIoT </w:t>
      </w:r>
      <w:r w:rsidR="00292D56" w:rsidRPr="00292D56">
        <w:rPr>
          <w:rFonts w:eastAsiaTheme="minorEastAsia"/>
          <w:lang w:eastAsia="zh-CN"/>
        </w:rPr>
        <w:t xml:space="preserve">device ACS requirement. </w:t>
      </w:r>
      <w:r w:rsidR="00795C73">
        <w:rPr>
          <w:rFonts w:eastAsiaTheme="minorEastAsia"/>
          <w:lang w:eastAsia="zh-CN"/>
        </w:rPr>
        <w:t xml:space="preserve">Similar to group 2, we also </w:t>
      </w:r>
      <w:r w:rsidR="003A2349">
        <w:rPr>
          <w:rFonts w:eastAsiaTheme="minorEastAsia"/>
          <w:lang w:eastAsia="zh-CN"/>
        </w:rPr>
        <w:t>observed</w:t>
      </w:r>
      <w:r w:rsidR="00795C73">
        <w:rPr>
          <w:rFonts w:eastAsiaTheme="minorEastAsia"/>
          <w:lang w:eastAsia="zh-CN"/>
        </w:rPr>
        <w:t xml:space="preserve"> that even without the inter system interference, the </w:t>
      </w:r>
      <w:r w:rsidR="003A2349">
        <w:rPr>
          <w:rFonts w:eastAsiaTheme="minorEastAsia"/>
          <w:lang w:eastAsia="zh-CN"/>
        </w:rPr>
        <w:t>achievable</w:t>
      </w:r>
      <w:r w:rsidR="00795C73">
        <w:rPr>
          <w:rFonts w:eastAsiaTheme="minorEastAsia"/>
          <w:lang w:eastAsia="zh-CN"/>
        </w:rPr>
        <w:t xml:space="preserve"> SINR </w:t>
      </w:r>
      <w:r w:rsidR="005A0023">
        <w:rPr>
          <w:rFonts w:eastAsiaTheme="minorEastAsia"/>
          <w:lang w:eastAsia="zh-CN"/>
        </w:rPr>
        <w:t xml:space="preserve">is </w:t>
      </w:r>
      <w:r w:rsidR="001D2AE6">
        <w:rPr>
          <w:rFonts w:eastAsiaTheme="minorEastAsia"/>
          <w:lang w:eastAsia="zh-CN"/>
        </w:rPr>
        <w:t>relatively</w:t>
      </w:r>
      <w:r w:rsidR="005A0023">
        <w:rPr>
          <w:rFonts w:eastAsiaTheme="minorEastAsia"/>
          <w:lang w:eastAsia="zh-CN"/>
        </w:rPr>
        <w:t xml:space="preserve"> low considering the potential SINR decode threshold, as shown in Fig. </w:t>
      </w:r>
      <w:r w:rsidR="006C6BCF">
        <w:rPr>
          <w:rFonts w:eastAsiaTheme="minorEastAsia"/>
          <w:lang w:eastAsia="zh-CN"/>
        </w:rPr>
        <w:t>2. Therefore</w:t>
      </w:r>
      <w:r w:rsidR="001D2AE6">
        <w:rPr>
          <w:rFonts w:eastAsiaTheme="minorEastAsia"/>
          <w:lang w:eastAsia="zh-CN"/>
        </w:rPr>
        <w:t xml:space="preserve"> necessary enhancement on improving the intra system SINR performance is needed. </w:t>
      </w:r>
    </w:p>
    <w:p w14:paraId="09D59FDE" w14:textId="4DC8A44B" w:rsidR="00B5745E" w:rsidRDefault="002820D8" w:rsidP="003A2349">
      <w:pPr>
        <w:pStyle w:val="BodyText"/>
        <w:jc w:val="center"/>
        <w:rPr>
          <w:rFonts w:eastAsiaTheme="minorEastAsia"/>
          <w:b/>
          <w:bCs/>
          <w:lang w:eastAsia="zh-CN"/>
        </w:rPr>
      </w:pPr>
      <w:r w:rsidRPr="002820D8">
        <w:rPr>
          <w:rFonts w:eastAsiaTheme="minorEastAsia"/>
          <w:b/>
          <w:bCs/>
          <w:noProof/>
          <w:lang w:eastAsia="zh-CN"/>
        </w:rPr>
        <w:drawing>
          <wp:inline distT="0" distB="0" distL="0" distR="0" wp14:anchorId="2553BA73" wp14:editId="4E82BB40">
            <wp:extent cx="5400000" cy="4010738"/>
            <wp:effectExtent l="0" t="0" r="0" b="8890"/>
            <wp:docPr id="7" name="Picture 6" descr="A graph with a dotted line&#10;&#10;AI-generated content may be incorrect.">
              <a:extLst xmlns:a="http://schemas.openxmlformats.org/drawingml/2006/main">
                <a:ext uri="{FF2B5EF4-FFF2-40B4-BE49-F238E27FC236}">
                  <a16:creationId xmlns:a16="http://schemas.microsoft.com/office/drawing/2014/main" id="{90B90EC6-EFCE-7ACC-AB5A-A060DA10B8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with a dotted line&#10;&#10;AI-generated content may be incorrect.">
                      <a:extLst>
                        <a:ext uri="{FF2B5EF4-FFF2-40B4-BE49-F238E27FC236}">
                          <a16:creationId xmlns:a16="http://schemas.microsoft.com/office/drawing/2014/main" id="{90B90EC6-EFCE-7ACC-AB5A-A060DA10B8AF}"/>
                        </a:ext>
                      </a:extLst>
                    </pic:cNvPr>
                    <pic:cNvPicPr>
                      <a:picLocks noChangeAspect="1"/>
                    </pic:cNvPicPr>
                  </pic:nvPicPr>
                  <pic:blipFill>
                    <a:blip r:embed="rId12">
                      <a:clrChange>
                        <a:clrFrom>
                          <a:srgbClr val="F0F0F0"/>
                        </a:clrFrom>
                        <a:clrTo>
                          <a:srgbClr val="F0F0F0">
                            <a:alpha val="0"/>
                          </a:srgbClr>
                        </a:clrTo>
                      </a:clrChange>
                    </a:blip>
                    <a:stretch>
                      <a:fillRect/>
                    </a:stretch>
                  </pic:blipFill>
                  <pic:spPr>
                    <a:xfrm>
                      <a:off x="0" y="0"/>
                      <a:ext cx="5400000" cy="4010738"/>
                    </a:xfrm>
                    <a:prstGeom prst="rect">
                      <a:avLst/>
                    </a:prstGeom>
                  </pic:spPr>
                </pic:pic>
              </a:graphicData>
            </a:graphic>
          </wp:inline>
        </w:drawing>
      </w:r>
    </w:p>
    <w:p w14:paraId="6090CED2" w14:textId="6186451F" w:rsidR="00D44648" w:rsidRDefault="00D44648" w:rsidP="00D44648">
      <w:pPr>
        <w:pStyle w:val="BodyText"/>
        <w:jc w:val="center"/>
        <w:rPr>
          <w:rFonts w:eastAsiaTheme="minorEastAsia"/>
          <w:b/>
          <w:bCs/>
          <w:lang w:eastAsia="zh-CN"/>
        </w:rPr>
      </w:pPr>
      <w:r>
        <w:rPr>
          <w:rFonts w:eastAsiaTheme="minorEastAsia"/>
          <w:b/>
          <w:bCs/>
          <w:lang w:eastAsia="zh-CN"/>
        </w:rPr>
        <w:t xml:space="preserve">Figure. </w:t>
      </w:r>
      <w:r w:rsidR="005A0023">
        <w:rPr>
          <w:rFonts w:eastAsiaTheme="minorEastAsia"/>
          <w:b/>
          <w:bCs/>
          <w:lang w:eastAsia="zh-CN"/>
        </w:rPr>
        <w:t>2</w:t>
      </w:r>
      <w:r>
        <w:rPr>
          <w:rFonts w:eastAsiaTheme="minorEastAsia"/>
          <w:b/>
          <w:bCs/>
          <w:lang w:eastAsia="zh-CN"/>
        </w:rPr>
        <w:t xml:space="preserve">. The CDF of SINR for D2R without inter system interference. </w:t>
      </w:r>
    </w:p>
    <w:p w14:paraId="6EA0E1F0" w14:textId="4D4904F1" w:rsidR="002C1888" w:rsidRPr="006429A2" w:rsidRDefault="001D2AE6" w:rsidP="006429A2">
      <w:pPr>
        <w:pStyle w:val="BodyText"/>
        <w:jc w:val="both"/>
        <w:rPr>
          <w:rFonts w:eastAsiaTheme="minorEastAsia"/>
          <w:b/>
          <w:bCs/>
          <w:lang w:eastAsia="zh-CN"/>
        </w:rPr>
      </w:pPr>
      <w:r>
        <w:rPr>
          <w:rFonts w:eastAsiaTheme="minorEastAsia"/>
          <w:b/>
          <w:bCs/>
          <w:lang w:eastAsia="zh-CN"/>
        </w:rPr>
        <w:t>Proposal 4: RAN4 shall study the mechanism</w:t>
      </w:r>
      <w:r w:rsidR="00BA2248">
        <w:rPr>
          <w:rFonts w:eastAsiaTheme="minorEastAsia"/>
          <w:b/>
          <w:bCs/>
          <w:lang w:eastAsia="zh-CN"/>
        </w:rPr>
        <w:t>s</w:t>
      </w:r>
      <w:r>
        <w:rPr>
          <w:rFonts w:eastAsiaTheme="minorEastAsia"/>
          <w:b/>
          <w:bCs/>
          <w:lang w:eastAsia="zh-CN"/>
        </w:rPr>
        <w:t xml:space="preserve"> to improve the intra system SINR performance of D2R </w:t>
      </w:r>
      <w:r w:rsidR="006C6BCF">
        <w:rPr>
          <w:rFonts w:eastAsiaTheme="minorEastAsia"/>
          <w:b/>
          <w:bCs/>
          <w:lang w:eastAsia="zh-CN"/>
        </w:rPr>
        <w:t xml:space="preserve">link </w:t>
      </w:r>
    </w:p>
    <w:p w14:paraId="7037F4B4" w14:textId="77777777" w:rsidR="00BC228E" w:rsidRDefault="00BA2248" w:rsidP="00BA2248">
      <w:pPr>
        <w:pStyle w:val="Heading1"/>
        <w:numPr>
          <w:ilvl w:val="0"/>
          <w:numId w:val="8"/>
        </w:numPr>
        <w:jc w:val="both"/>
        <w:rPr>
          <w:bCs/>
          <w:lang w:val="en-US"/>
        </w:rPr>
      </w:pPr>
      <w:r>
        <w:rPr>
          <w:bCs/>
          <w:lang w:val="en-US"/>
        </w:rPr>
        <w:t xml:space="preserve">Consideration on the </w:t>
      </w:r>
      <w:r w:rsidR="0094414E">
        <w:rPr>
          <w:bCs/>
          <w:lang w:val="en-US"/>
        </w:rPr>
        <w:t xml:space="preserve">RF </w:t>
      </w:r>
      <w:r w:rsidR="00BC228E">
        <w:rPr>
          <w:bCs/>
          <w:lang w:val="en-US"/>
        </w:rPr>
        <w:t>assumption</w:t>
      </w:r>
      <w:r w:rsidR="0094414E">
        <w:rPr>
          <w:bCs/>
          <w:lang w:val="en-US"/>
        </w:rPr>
        <w:t xml:space="preserve"> of AIoT devices </w:t>
      </w:r>
    </w:p>
    <w:p w14:paraId="03BEAD61" w14:textId="7176A8D5" w:rsidR="00BA2248" w:rsidRPr="00BC228E" w:rsidRDefault="00791221" w:rsidP="00BC228E">
      <w:pPr>
        <w:pStyle w:val="Heading2"/>
        <w:numPr>
          <w:ilvl w:val="1"/>
          <w:numId w:val="8"/>
        </w:numPr>
        <w:jc w:val="both"/>
        <w:rPr>
          <w:bCs/>
          <w:lang w:val="en-US"/>
        </w:rPr>
      </w:pPr>
      <w:r w:rsidRPr="00BC228E">
        <w:rPr>
          <w:bCs/>
          <w:lang w:val="en-US"/>
        </w:rPr>
        <w:t xml:space="preserve">ACS/ACLR modelling in co-existence study </w:t>
      </w:r>
    </w:p>
    <w:p w14:paraId="336E0F82" w14:textId="773C6E14" w:rsidR="00667201" w:rsidRDefault="00F85A2F" w:rsidP="002C1888">
      <w:pPr>
        <w:pStyle w:val="BodyText"/>
        <w:rPr>
          <w:lang w:val="en-US"/>
        </w:rPr>
      </w:pPr>
      <w:r>
        <w:rPr>
          <w:lang w:val="en-US"/>
        </w:rPr>
        <w:t xml:space="preserve">How to model the ACS and ACLR </w:t>
      </w:r>
      <w:r w:rsidR="007E2AE7">
        <w:rPr>
          <w:lang w:val="en-US"/>
        </w:rPr>
        <w:t xml:space="preserve">for inter system interference still remains open. </w:t>
      </w:r>
      <w:r w:rsidR="0003460D">
        <w:rPr>
          <w:lang w:val="en-US"/>
        </w:rPr>
        <w:t xml:space="preserve">The </w:t>
      </w:r>
      <w:r w:rsidR="00677212">
        <w:rPr>
          <w:lang w:val="en-US"/>
        </w:rPr>
        <w:t>agreed spectrum allocation</w:t>
      </w:r>
      <w:r w:rsidR="00F325C9">
        <w:rPr>
          <w:lang w:val="en-US"/>
        </w:rPr>
        <w:t>s</w:t>
      </w:r>
      <w:r w:rsidR="00677212">
        <w:rPr>
          <w:lang w:val="en-US"/>
        </w:rPr>
        <w:t xml:space="preserve"> </w:t>
      </w:r>
      <w:r w:rsidR="0003460D">
        <w:rPr>
          <w:lang w:val="en-US"/>
        </w:rPr>
        <w:t xml:space="preserve">for </w:t>
      </w:r>
      <w:r w:rsidR="00F325C9">
        <w:rPr>
          <w:lang w:val="en-US"/>
        </w:rPr>
        <w:t xml:space="preserve">co-existence simulation for </w:t>
      </w:r>
      <w:r w:rsidR="0003460D">
        <w:rPr>
          <w:lang w:val="en-US"/>
        </w:rPr>
        <w:t xml:space="preserve">UL&amp;D2R and DL &amp;R2D </w:t>
      </w:r>
      <w:r w:rsidR="00F325C9">
        <w:rPr>
          <w:lang w:val="en-US"/>
        </w:rPr>
        <w:t>are</w:t>
      </w:r>
      <w:r w:rsidR="0003460D">
        <w:rPr>
          <w:lang w:val="en-US"/>
        </w:rPr>
        <w:t xml:space="preserve"> </w:t>
      </w:r>
      <w:r w:rsidR="00677212">
        <w:rPr>
          <w:lang w:val="en-US"/>
        </w:rPr>
        <w:t>illustrated</w:t>
      </w:r>
      <w:r w:rsidR="0003460D">
        <w:rPr>
          <w:lang w:val="en-US"/>
        </w:rPr>
        <w:t xml:space="preserve"> in Fig. 3. </w:t>
      </w:r>
    </w:p>
    <w:p w14:paraId="7E8570B3" w14:textId="4A5F383F" w:rsidR="0003460D" w:rsidRDefault="0003460D" w:rsidP="002C1888">
      <w:pPr>
        <w:pStyle w:val="BodyText"/>
        <w:rPr>
          <w:lang w:val="en-US"/>
        </w:rPr>
      </w:pPr>
      <w:r w:rsidRPr="0003460D">
        <w:rPr>
          <w:noProof/>
          <w:lang w:val="en-US"/>
        </w:rPr>
        <w:drawing>
          <wp:inline distT="0" distB="0" distL="0" distR="0" wp14:anchorId="41FDAA72" wp14:editId="2E3D1EB7">
            <wp:extent cx="6264275" cy="2241550"/>
            <wp:effectExtent l="0" t="0" r="3175" b="6350"/>
            <wp:docPr id="1741342176" name="Picture 1" descr="A blue and 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342176" name="Picture 1" descr="A blue and red squares&#10;&#10;AI-generated content may be incorrect."/>
                    <pic:cNvPicPr/>
                  </pic:nvPicPr>
                  <pic:blipFill>
                    <a:blip r:embed="rId13"/>
                    <a:stretch>
                      <a:fillRect/>
                    </a:stretch>
                  </pic:blipFill>
                  <pic:spPr>
                    <a:xfrm>
                      <a:off x="0" y="0"/>
                      <a:ext cx="6264275" cy="2241550"/>
                    </a:xfrm>
                    <a:prstGeom prst="rect">
                      <a:avLst/>
                    </a:prstGeom>
                  </pic:spPr>
                </pic:pic>
              </a:graphicData>
            </a:graphic>
          </wp:inline>
        </w:drawing>
      </w:r>
    </w:p>
    <w:p w14:paraId="28A3793A" w14:textId="686F0B0D" w:rsidR="0003460D" w:rsidRDefault="0003460D" w:rsidP="0003460D">
      <w:pPr>
        <w:pStyle w:val="BodyText"/>
        <w:jc w:val="center"/>
        <w:rPr>
          <w:rFonts w:eastAsiaTheme="minorEastAsia"/>
          <w:b/>
          <w:bCs/>
          <w:lang w:eastAsia="zh-CN"/>
        </w:rPr>
      </w:pPr>
      <w:r>
        <w:rPr>
          <w:rFonts w:eastAsiaTheme="minorEastAsia"/>
          <w:b/>
          <w:bCs/>
          <w:lang w:eastAsia="zh-CN"/>
        </w:rPr>
        <w:t xml:space="preserve">Figure. </w:t>
      </w:r>
      <w:r w:rsidR="00677212">
        <w:rPr>
          <w:rFonts w:eastAsiaTheme="minorEastAsia"/>
          <w:b/>
          <w:bCs/>
          <w:lang w:eastAsia="zh-CN"/>
        </w:rPr>
        <w:t>3</w:t>
      </w:r>
      <w:r>
        <w:rPr>
          <w:rFonts w:eastAsiaTheme="minorEastAsia"/>
          <w:b/>
          <w:bCs/>
          <w:lang w:eastAsia="zh-CN"/>
        </w:rPr>
        <w:t xml:space="preserve">. </w:t>
      </w:r>
      <w:r w:rsidR="00677212">
        <w:rPr>
          <w:rFonts w:eastAsiaTheme="minorEastAsia"/>
          <w:b/>
          <w:bCs/>
          <w:lang w:eastAsia="zh-CN"/>
        </w:rPr>
        <w:t>Spectrum allocation assumption for NR and AIoT system in the co-existence study</w:t>
      </w:r>
      <w:r>
        <w:rPr>
          <w:rFonts w:eastAsiaTheme="minorEastAsia"/>
          <w:b/>
          <w:bCs/>
          <w:lang w:eastAsia="zh-CN"/>
        </w:rPr>
        <w:t xml:space="preserve"> </w:t>
      </w:r>
    </w:p>
    <w:p w14:paraId="761CBE77" w14:textId="114E44BE" w:rsidR="008F7D6B" w:rsidRDefault="00677212" w:rsidP="002C1888">
      <w:pPr>
        <w:pStyle w:val="BodyText"/>
      </w:pPr>
      <w:r>
        <w:lastRenderedPageBreak/>
        <w:t>Based on this assumption</w:t>
      </w:r>
      <w:r w:rsidR="00F325C9">
        <w:t xml:space="preserve">, the corresponding ACLR and ACS model can be assumed based on </w:t>
      </w:r>
      <w:r w:rsidR="00D42F07">
        <w:t xml:space="preserve">TR36.942, where </w:t>
      </w:r>
      <w:r w:rsidR="008F7D6B">
        <w:t xml:space="preserve">examples on how a </w:t>
      </w:r>
      <w:r w:rsidR="000631B1">
        <w:t xml:space="preserve">ACLR and ACS is model are quoted </w:t>
      </w:r>
      <w:r w:rsidR="008F7D6B">
        <w:t>as in Fig. 4</w:t>
      </w:r>
      <w:r w:rsidR="000631B1">
        <w:t xml:space="preserve"> and Fig.5</w:t>
      </w:r>
      <w:r w:rsidR="008F7D6B">
        <w:t>:</w:t>
      </w:r>
    </w:p>
    <w:p w14:paraId="2F896DF3" w14:textId="03424B44" w:rsidR="002C1888" w:rsidRDefault="008F7D6B" w:rsidP="002C1888">
      <w:pPr>
        <w:pStyle w:val="BodyText"/>
        <w:rPr>
          <w:lang w:val="en-US"/>
        </w:rPr>
      </w:pPr>
      <w:r>
        <w:rPr>
          <w:rFonts w:eastAsia="Malgun Gothic"/>
        </w:rPr>
        <w:object w:dxaOrig="9630" w:dyaOrig="3410" w14:anchorId="0F45C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5pt" o:ole="">
            <v:imagedata r:id="rId14" o:title=""/>
          </v:shape>
          <o:OLEObject Type="Embed" ProgID="Word.Picture.8" ShapeID="_x0000_i1025" DrawAspect="Content" ObjectID="_1824062473" r:id="rId15"/>
        </w:object>
      </w:r>
      <w:r w:rsidR="00FE087D">
        <w:rPr>
          <w:lang w:val="en-US"/>
        </w:rPr>
        <w:t xml:space="preserve"> </w:t>
      </w:r>
    </w:p>
    <w:p w14:paraId="317C0760" w14:textId="50775F1A" w:rsidR="00DA22A2" w:rsidRDefault="00DA22A2" w:rsidP="00DA22A2">
      <w:pPr>
        <w:pStyle w:val="BodyText"/>
        <w:jc w:val="center"/>
        <w:rPr>
          <w:b/>
          <w:bCs/>
        </w:rPr>
      </w:pPr>
      <w:r w:rsidRPr="00DA22A2">
        <w:rPr>
          <w:b/>
          <w:bCs/>
          <w:lang w:val="en-US"/>
        </w:rPr>
        <w:t xml:space="preserve">Figure. 4. Examples on </w:t>
      </w:r>
      <w:r w:rsidR="009C2FEE">
        <w:rPr>
          <w:b/>
          <w:bCs/>
          <w:lang w:val="en-US"/>
        </w:rPr>
        <w:t xml:space="preserve">ACLR model of a </w:t>
      </w:r>
      <w:r w:rsidR="009C2FEE">
        <w:rPr>
          <w:b/>
          <w:bCs/>
        </w:rPr>
        <w:t>a</w:t>
      </w:r>
      <w:r w:rsidRPr="00DA22A2">
        <w:rPr>
          <w:b/>
          <w:bCs/>
        </w:rPr>
        <w:t xml:space="preserve">ggressor </w:t>
      </w:r>
      <w:r w:rsidR="009C2FEE">
        <w:rPr>
          <w:b/>
          <w:bCs/>
        </w:rPr>
        <w:t xml:space="preserve">UE </w:t>
      </w:r>
      <w:r w:rsidRPr="00DA22A2">
        <w:rPr>
          <w:b/>
          <w:bCs/>
        </w:rPr>
        <w:t xml:space="preserve">with larger bandwidth than victim </w:t>
      </w:r>
      <w:r w:rsidR="009C2FEE">
        <w:rPr>
          <w:b/>
          <w:bCs/>
        </w:rPr>
        <w:t>UE</w:t>
      </w:r>
      <w:r w:rsidRPr="00DA22A2">
        <w:rPr>
          <w:b/>
          <w:bCs/>
        </w:rPr>
        <w:t xml:space="preserve"> in 36.942</w:t>
      </w:r>
    </w:p>
    <w:p w14:paraId="5D702DEF" w14:textId="74B5EA67" w:rsidR="00B567F0" w:rsidRDefault="009C2FEE" w:rsidP="00DA22A2">
      <w:pPr>
        <w:pStyle w:val="BodyText"/>
        <w:jc w:val="center"/>
        <w:rPr>
          <w:b/>
          <w:bCs/>
        </w:rPr>
      </w:pPr>
      <w:r>
        <w:rPr>
          <w:noProof/>
        </w:rPr>
        <w:drawing>
          <wp:inline distT="0" distB="0" distL="0" distR="0" wp14:anchorId="01EE6C61" wp14:editId="32C07B90">
            <wp:extent cx="3371850" cy="2362200"/>
            <wp:effectExtent l="0" t="0" r="0" b="0"/>
            <wp:docPr id="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2362200"/>
                    </a:xfrm>
                    <a:prstGeom prst="rect">
                      <a:avLst/>
                    </a:prstGeom>
                    <a:noFill/>
                    <a:ln>
                      <a:noFill/>
                    </a:ln>
                  </pic:spPr>
                </pic:pic>
              </a:graphicData>
            </a:graphic>
          </wp:inline>
        </w:drawing>
      </w:r>
    </w:p>
    <w:p w14:paraId="6653C0DC" w14:textId="593AD49F" w:rsidR="009C2FEE" w:rsidRDefault="009C2FEE" w:rsidP="009C2FEE">
      <w:pPr>
        <w:pStyle w:val="BodyText"/>
        <w:jc w:val="center"/>
        <w:rPr>
          <w:b/>
          <w:bCs/>
        </w:rPr>
      </w:pPr>
      <w:r w:rsidRPr="00DA22A2">
        <w:rPr>
          <w:b/>
          <w:bCs/>
          <w:lang w:val="en-US"/>
        </w:rPr>
        <w:t xml:space="preserve">Figure. </w:t>
      </w:r>
      <w:r w:rsidR="000631B1">
        <w:rPr>
          <w:b/>
          <w:bCs/>
          <w:lang w:val="en-US"/>
        </w:rPr>
        <w:t>5</w:t>
      </w:r>
      <w:r w:rsidRPr="00DA22A2">
        <w:rPr>
          <w:b/>
          <w:bCs/>
          <w:lang w:val="en-US"/>
        </w:rPr>
        <w:t xml:space="preserve">. Examples on </w:t>
      </w:r>
      <w:r w:rsidR="000631B1">
        <w:rPr>
          <w:b/>
          <w:bCs/>
        </w:rPr>
        <w:t>DL</w:t>
      </w:r>
      <w:r w:rsidRPr="00DA22A2">
        <w:rPr>
          <w:b/>
          <w:bCs/>
        </w:rPr>
        <w:t xml:space="preserve"> </w:t>
      </w:r>
      <w:r w:rsidR="000631B1">
        <w:rPr>
          <w:b/>
          <w:bCs/>
        </w:rPr>
        <w:t>ACS model</w:t>
      </w:r>
      <w:r w:rsidRPr="00DA22A2">
        <w:rPr>
          <w:b/>
          <w:bCs/>
        </w:rPr>
        <w:t xml:space="preserve"> in 36.942</w:t>
      </w:r>
    </w:p>
    <w:p w14:paraId="12BFCD5B" w14:textId="0DF587DD" w:rsidR="00DA22A2" w:rsidRPr="00473205" w:rsidRDefault="00473205" w:rsidP="00473205">
      <w:pPr>
        <w:pStyle w:val="BodyText"/>
      </w:pPr>
      <w:r w:rsidRPr="00473205">
        <w:t xml:space="preserve">Therefore, it is proposed to adopt the following table for ACLR and ACS modelling for NR BS and UE. </w:t>
      </w:r>
    </w:p>
    <w:tbl>
      <w:tblPr>
        <w:tblStyle w:val="TableGrid"/>
        <w:tblW w:w="0" w:type="auto"/>
        <w:tblLook w:val="04A0" w:firstRow="1" w:lastRow="0" w:firstColumn="1" w:lastColumn="0" w:noHBand="0" w:noVBand="1"/>
      </w:tblPr>
      <w:tblGrid>
        <w:gridCol w:w="988"/>
        <w:gridCol w:w="5582"/>
        <w:gridCol w:w="3285"/>
      </w:tblGrid>
      <w:tr w:rsidR="00667201" w14:paraId="46137721" w14:textId="77777777" w:rsidTr="00235D82">
        <w:tc>
          <w:tcPr>
            <w:tcW w:w="988" w:type="dxa"/>
          </w:tcPr>
          <w:p w14:paraId="6B7950DD" w14:textId="77777777" w:rsidR="00667201" w:rsidRDefault="00667201" w:rsidP="002C1888">
            <w:pPr>
              <w:pStyle w:val="BodyText"/>
              <w:rPr>
                <w:lang w:val="en-US"/>
              </w:rPr>
            </w:pPr>
          </w:p>
        </w:tc>
        <w:tc>
          <w:tcPr>
            <w:tcW w:w="5582" w:type="dxa"/>
          </w:tcPr>
          <w:p w14:paraId="282017B6" w14:textId="49B1CA7E" w:rsidR="00667201" w:rsidRDefault="00667201" w:rsidP="002C1888">
            <w:pPr>
              <w:pStyle w:val="BodyText"/>
              <w:rPr>
                <w:lang w:val="en-US"/>
              </w:rPr>
            </w:pPr>
            <w:r>
              <w:rPr>
                <w:lang w:val="en-US"/>
              </w:rPr>
              <w:t>ACLR</w:t>
            </w:r>
          </w:p>
        </w:tc>
        <w:tc>
          <w:tcPr>
            <w:tcW w:w="3285" w:type="dxa"/>
          </w:tcPr>
          <w:p w14:paraId="723A6A78" w14:textId="25832253" w:rsidR="00667201" w:rsidRDefault="00667201" w:rsidP="002C1888">
            <w:pPr>
              <w:pStyle w:val="BodyText"/>
              <w:rPr>
                <w:lang w:val="en-US"/>
              </w:rPr>
            </w:pPr>
            <w:r>
              <w:rPr>
                <w:lang w:val="en-US"/>
              </w:rPr>
              <w:t>ACS</w:t>
            </w:r>
          </w:p>
        </w:tc>
      </w:tr>
      <w:tr w:rsidR="00667201" w:rsidRPr="00235D82" w14:paraId="260E968E" w14:textId="77777777" w:rsidTr="00235D82">
        <w:tc>
          <w:tcPr>
            <w:tcW w:w="988" w:type="dxa"/>
          </w:tcPr>
          <w:p w14:paraId="73CDF870" w14:textId="12C0701C" w:rsidR="00667201" w:rsidRDefault="00667201" w:rsidP="002C1888">
            <w:pPr>
              <w:pStyle w:val="BodyText"/>
              <w:rPr>
                <w:lang w:val="en-US"/>
              </w:rPr>
            </w:pPr>
            <w:r>
              <w:rPr>
                <w:lang w:val="en-US"/>
              </w:rPr>
              <w:t>NR UE</w:t>
            </w:r>
          </w:p>
        </w:tc>
        <w:tc>
          <w:tcPr>
            <w:tcW w:w="5582" w:type="dxa"/>
          </w:tcPr>
          <w:p w14:paraId="01369D23" w14:textId="77777777" w:rsidR="00235D82" w:rsidRPr="00353B42" w:rsidRDefault="00235D82" w:rsidP="00235D82">
            <w:pPr>
              <w:pStyle w:val="BodyText"/>
              <w:rPr>
                <w:lang w:val="sv-SE"/>
              </w:rPr>
            </w:pPr>
            <w:r w:rsidRPr="00353B42">
              <w:rPr>
                <w:lang w:val="sv-SE"/>
              </w:rPr>
              <w:t>ACLR 1 = 30 dB + 10*log</w:t>
            </w:r>
            <w:r>
              <w:rPr>
                <w:lang w:val="sv-SE"/>
              </w:rPr>
              <w:t>10 (3.3MHz/15 kHz)</w:t>
            </w:r>
          </w:p>
          <w:p w14:paraId="3FC0DD85" w14:textId="27370828" w:rsidR="00667201" w:rsidRPr="00235D82" w:rsidRDefault="00235D82" w:rsidP="00235D82">
            <w:pPr>
              <w:pStyle w:val="BodyText"/>
              <w:rPr>
                <w:lang w:val="sv-SE"/>
              </w:rPr>
            </w:pPr>
            <w:r w:rsidRPr="00353B42">
              <w:rPr>
                <w:lang w:val="sv-SE"/>
              </w:rPr>
              <w:t>ACLR 2 = 46 dB10*log</w:t>
            </w:r>
            <w:r>
              <w:rPr>
                <w:lang w:val="sv-SE"/>
              </w:rPr>
              <w:t>10 (3.3MHz/15 kHz)</w:t>
            </w:r>
          </w:p>
        </w:tc>
        <w:tc>
          <w:tcPr>
            <w:tcW w:w="3285" w:type="dxa"/>
          </w:tcPr>
          <w:p w14:paraId="64FF0278" w14:textId="0A97441C" w:rsidR="00667201" w:rsidRPr="00235D82" w:rsidRDefault="00115950" w:rsidP="002C1888">
            <w:pPr>
              <w:pStyle w:val="BodyText"/>
              <w:rPr>
                <w:lang w:val="sv-SE"/>
              </w:rPr>
            </w:pPr>
            <w:r>
              <w:rPr>
                <w:lang w:val="sv-SE"/>
              </w:rPr>
              <w:t>33 dB</w:t>
            </w:r>
          </w:p>
        </w:tc>
      </w:tr>
      <w:tr w:rsidR="00667201" w:rsidRPr="00667201" w14:paraId="10FCFD60" w14:textId="77777777" w:rsidTr="00235D82">
        <w:tc>
          <w:tcPr>
            <w:tcW w:w="988" w:type="dxa"/>
          </w:tcPr>
          <w:p w14:paraId="18B27AB6" w14:textId="27E95393" w:rsidR="00667201" w:rsidRDefault="00667201" w:rsidP="002C1888">
            <w:pPr>
              <w:pStyle w:val="BodyText"/>
              <w:rPr>
                <w:lang w:val="en-US"/>
              </w:rPr>
            </w:pPr>
            <w:r>
              <w:rPr>
                <w:lang w:val="en-US"/>
              </w:rPr>
              <w:t>NR BS</w:t>
            </w:r>
          </w:p>
        </w:tc>
        <w:tc>
          <w:tcPr>
            <w:tcW w:w="5582" w:type="dxa"/>
          </w:tcPr>
          <w:p w14:paraId="121A69A4" w14:textId="662CE35F" w:rsidR="00667201" w:rsidRDefault="00667201" w:rsidP="002C1888">
            <w:pPr>
              <w:pStyle w:val="BodyText"/>
              <w:rPr>
                <w:lang w:val="en-US"/>
              </w:rPr>
            </w:pPr>
            <w:r>
              <w:t>45 dB+</w:t>
            </w:r>
            <w:r w:rsidRPr="00353B42">
              <w:rPr>
                <w:lang w:val="sv-SE"/>
              </w:rPr>
              <w:t>10*log</w:t>
            </w:r>
            <w:r>
              <w:rPr>
                <w:lang w:val="sv-SE"/>
              </w:rPr>
              <w:t>10 (3.3MHz/180 kHz)</w:t>
            </w:r>
          </w:p>
        </w:tc>
        <w:tc>
          <w:tcPr>
            <w:tcW w:w="3285" w:type="dxa"/>
          </w:tcPr>
          <w:p w14:paraId="1A538409" w14:textId="50AB1830" w:rsidR="00667201" w:rsidRPr="00667201" w:rsidRDefault="00115950" w:rsidP="00667201">
            <w:pPr>
              <w:pStyle w:val="BodyText"/>
              <w:rPr>
                <w:lang w:val="sv-SE"/>
              </w:rPr>
            </w:pPr>
            <w:r>
              <w:rPr>
                <w:lang w:val="sv-SE"/>
              </w:rPr>
              <w:t>46 dB</w:t>
            </w:r>
          </w:p>
        </w:tc>
      </w:tr>
    </w:tbl>
    <w:p w14:paraId="00BDA7FD" w14:textId="2DE52C3A" w:rsidR="00D82765" w:rsidRDefault="00D82765" w:rsidP="007819FC">
      <w:pPr>
        <w:pStyle w:val="BodyText"/>
        <w:jc w:val="both"/>
        <w:rPr>
          <w:lang w:val="en-US"/>
        </w:rPr>
      </w:pPr>
    </w:p>
    <w:p w14:paraId="06F76B1A" w14:textId="2748E7DD" w:rsidR="00285F80" w:rsidRDefault="00473205" w:rsidP="007819FC">
      <w:pPr>
        <w:pStyle w:val="BodyText"/>
        <w:jc w:val="both"/>
        <w:rPr>
          <w:lang w:val="en-US"/>
        </w:rPr>
      </w:pPr>
      <w:r>
        <w:rPr>
          <w:lang w:val="en-US"/>
        </w:rPr>
        <w:t xml:space="preserve">On the other hand, for the </w:t>
      </w:r>
      <w:r w:rsidR="0041630E">
        <w:rPr>
          <w:lang w:val="en-US"/>
        </w:rPr>
        <w:t xml:space="preserve">active </w:t>
      </w:r>
      <w:r>
        <w:rPr>
          <w:lang w:val="en-US"/>
        </w:rPr>
        <w:t xml:space="preserve">AIoT devices, </w:t>
      </w:r>
      <w:r w:rsidR="0037777D">
        <w:rPr>
          <w:lang w:val="en-US"/>
        </w:rPr>
        <w:t>still multiple parameters</w:t>
      </w:r>
      <w:r w:rsidR="00786A38">
        <w:rPr>
          <w:lang w:val="en-US"/>
        </w:rPr>
        <w:t>/factors</w:t>
      </w:r>
      <w:r w:rsidR="0037777D">
        <w:rPr>
          <w:lang w:val="en-US"/>
        </w:rPr>
        <w:t xml:space="preserve"> </w:t>
      </w:r>
      <w:r w:rsidR="002B1598">
        <w:rPr>
          <w:lang w:val="en-US"/>
        </w:rPr>
        <w:t>remain</w:t>
      </w:r>
      <w:r w:rsidR="0037777D">
        <w:rPr>
          <w:lang w:val="en-US"/>
        </w:rPr>
        <w:t xml:space="preserve"> unclear</w:t>
      </w:r>
      <w:r w:rsidR="009C05E9">
        <w:rPr>
          <w:lang w:val="en-US"/>
        </w:rPr>
        <w:t>, for example, the final waveform design</w:t>
      </w:r>
      <w:r w:rsidR="0041630E">
        <w:rPr>
          <w:lang w:val="en-US"/>
        </w:rPr>
        <w:t xml:space="preserve"> and filter assumptions</w:t>
      </w:r>
      <w:r w:rsidR="00871018">
        <w:rPr>
          <w:lang w:val="en-US"/>
        </w:rPr>
        <w:t xml:space="preserve">. Therefore, for sake of </w:t>
      </w:r>
      <w:r w:rsidR="007D2A6C">
        <w:rPr>
          <w:lang w:val="en-US"/>
        </w:rPr>
        <w:t>simplicity</w:t>
      </w:r>
      <w:r w:rsidR="00871018">
        <w:rPr>
          <w:lang w:val="en-US"/>
        </w:rPr>
        <w:t xml:space="preserve">, it is proposed to adopt a flat model for AIoT device when perform the co-existence evaluation to derive the required ACLR and ACS level. How the final requirements of ACLR and ACS </w:t>
      </w:r>
      <w:r w:rsidR="00285F80">
        <w:rPr>
          <w:lang w:val="en-US"/>
        </w:rPr>
        <w:t xml:space="preserve">to be specified can be left to normative work phase. </w:t>
      </w:r>
    </w:p>
    <w:p w14:paraId="5DA4E5ED" w14:textId="004849F0" w:rsidR="00285F80" w:rsidRPr="00D628E0" w:rsidRDefault="00285F80" w:rsidP="007819FC">
      <w:pPr>
        <w:pStyle w:val="BodyText"/>
        <w:jc w:val="both"/>
        <w:rPr>
          <w:b/>
          <w:bCs/>
          <w:lang w:val="en-US"/>
        </w:rPr>
      </w:pPr>
      <w:r w:rsidRPr="00D628E0">
        <w:rPr>
          <w:b/>
          <w:bCs/>
          <w:lang w:val="en-US"/>
        </w:rPr>
        <w:t>Proposal 5: for</w:t>
      </w:r>
      <w:r w:rsidR="004C1565" w:rsidRPr="00D628E0">
        <w:rPr>
          <w:b/>
          <w:bCs/>
          <w:lang w:val="en-US"/>
        </w:rPr>
        <w:t xml:space="preserve"> NR BS and UE, adopt the following </w:t>
      </w:r>
      <w:r w:rsidR="00D628E0" w:rsidRPr="00D628E0">
        <w:rPr>
          <w:b/>
          <w:bCs/>
          <w:lang w:val="en-US"/>
        </w:rPr>
        <w:t>model for ACS and ACLR:</w:t>
      </w:r>
    </w:p>
    <w:tbl>
      <w:tblPr>
        <w:tblStyle w:val="TableGrid"/>
        <w:tblW w:w="0" w:type="auto"/>
        <w:tblLook w:val="04A0" w:firstRow="1" w:lastRow="0" w:firstColumn="1" w:lastColumn="0" w:noHBand="0" w:noVBand="1"/>
      </w:tblPr>
      <w:tblGrid>
        <w:gridCol w:w="988"/>
        <w:gridCol w:w="5582"/>
        <w:gridCol w:w="3285"/>
      </w:tblGrid>
      <w:tr w:rsidR="00D628E0" w14:paraId="3F6B8947" w14:textId="77777777" w:rsidTr="00746855">
        <w:tc>
          <w:tcPr>
            <w:tcW w:w="988" w:type="dxa"/>
          </w:tcPr>
          <w:p w14:paraId="6BB4E23A" w14:textId="77777777" w:rsidR="00D628E0" w:rsidRDefault="00D628E0" w:rsidP="00746855">
            <w:pPr>
              <w:pStyle w:val="BodyText"/>
              <w:rPr>
                <w:lang w:val="en-US"/>
              </w:rPr>
            </w:pPr>
          </w:p>
        </w:tc>
        <w:tc>
          <w:tcPr>
            <w:tcW w:w="5582" w:type="dxa"/>
          </w:tcPr>
          <w:p w14:paraId="1557B3AC" w14:textId="77777777" w:rsidR="00D628E0" w:rsidRDefault="00D628E0" w:rsidP="00746855">
            <w:pPr>
              <w:pStyle w:val="BodyText"/>
              <w:rPr>
                <w:lang w:val="en-US"/>
              </w:rPr>
            </w:pPr>
            <w:r>
              <w:rPr>
                <w:lang w:val="en-US"/>
              </w:rPr>
              <w:t>ACLR</w:t>
            </w:r>
          </w:p>
        </w:tc>
        <w:tc>
          <w:tcPr>
            <w:tcW w:w="3285" w:type="dxa"/>
          </w:tcPr>
          <w:p w14:paraId="609496D6" w14:textId="77777777" w:rsidR="00D628E0" w:rsidRDefault="00D628E0" w:rsidP="00746855">
            <w:pPr>
              <w:pStyle w:val="BodyText"/>
              <w:rPr>
                <w:lang w:val="en-US"/>
              </w:rPr>
            </w:pPr>
            <w:r>
              <w:rPr>
                <w:lang w:val="en-US"/>
              </w:rPr>
              <w:t>ACS</w:t>
            </w:r>
          </w:p>
        </w:tc>
      </w:tr>
      <w:tr w:rsidR="00D628E0" w:rsidRPr="00235D82" w14:paraId="2E94AD86" w14:textId="77777777" w:rsidTr="00746855">
        <w:tc>
          <w:tcPr>
            <w:tcW w:w="988" w:type="dxa"/>
          </w:tcPr>
          <w:p w14:paraId="1B7E3419" w14:textId="77777777" w:rsidR="00D628E0" w:rsidRDefault="00D628E0" w:rsidP="00746855">
            <w:pPr>
              <w:pStyle w:val="BodyText"/>
              <w:rPr>
                <w:lang w:val="en-US"/>
              </w:rPr>
            </w:pPr>
            <w:r>
              <w:rPr>
                <w:lang w:val="en-US"/>
              </w:rPr>
              <w:t>NR UE</w:t>
            </w:r>
          </w:p>
        </w:tc>
        <w:tc>
          <w:tcPr>
            <w:tcW w:w="5582" w:type="dxa"/>
          </w:tcPr>
          <w:p w14:paraId="53A16B9D" w14:textId="77777777" w:rsidR="00D628E0" w:rsidRPr="00353B42" w:rsidRDefault="00D628E0" w:rsidP="00746855">
            <w:pPr>
              <w:pStyle w:val="BodyText"/>
              <w:rPr>
                <w:lang w:val="sv-SE"/>
              </w:rPr>
            </w:pPr>
            <w:r w:rsidRPr="00353B42">
              <w:rPr>
                <w:lang w:val="sv-SE"/>
              </w:rPr>
              <w:t>ACLR 1 = 30 dB + 10*log</w:t>
            </w:r>
            <w:r>
              <w:rPr>
                <w:lang w:val="sv-SE"/>
              </w:rPr>
              <w:t>10 (3.3MHz/15 kHz)</w:t>
            </w:r>
          </w:p>
          <w:p w14:paraId="72AA3947" w14:textId="77777777" w:rsidR="00D628E0" w:rsidRPr="00235D82" w:rsidRDefault="00D628E0" w:rsidP="00746855">
            <w:pPr>
              <w:pStyle w:val="BodyText"/>
              <w:rPr>
                <w:lang w:val="sv-SE"/>
              </w:rPr>
            </w:pPr>
            <w:r w:rsidRPr="00353B42">
              <w:rPr>
                <w:lang w:val="sv-SE"/>
              </w:rPr>
              <w:t>ACLR 2 = 46 dB10*log</w:t>
            </w:r>
            <w:r>
              <w:rPr>
                <w:lang w:val="sv-SE"/>
              </w:rPr>
              <w:t>10 (3.3MHz/15 kHz)</w:t>
            </w:r>
          </w:p>
        </w:tc>
        <w:tc>
          <w:tcPr>
            <w:tcW w:w="3285" w:type="dxa"/>
          </w:tcPr>
          <w:p w14:paraId="0764516E" w14:textId="77777777" w:rsidR="00D628E0" w:rsidRPr="00235D82" w:rsidRDefault="00D628E0" w:rsidP="00746855">
            <w:pPr>
              <w:pStyle w:val="BodyText"/>
              <w:rPr>
                <w:lang w:val="sv-SE"/>
              </w:rPr>
            </w:pPr>
            <w:r>
              <w:rPr>
                <w:lang w:val="sv-SE"/>
              </w:rPr>
              <w:t>33 dB</w:t>
            </w:r>
          </w:p>
        </w:tc>
      </w:tr>
      <w:tr w:rsidR="00D628E0" w:rsidRPr="00667201" w14:paraId="1FD8E645" w14:textId="77777777" w:rsidTr="00746855">
        <w:tc>
          <w:tcPr>
            <w:tcW w:w="988" w:type="dxa"/>
          </w:tcPr>
          <w:p w14:paraId="18D1A8E0" w14:textId="77777777" w:rsidR="00D628E0" w:rsidRDefault="00D628E0" w:rsidP="00746855">
            <w:pPr>
              <w:pStyle w:val="BodyText"/>
              <w:rPr>
                <w:lang w:val="en-US"/>
              </w:rPr>
            </w:pPr>
            <w:r>
              <w:rPr>
                <w:lang w:val="en-US"/>
              </w:rPr>
              <w:t>NR BS</w:t>
            </w:r>
          </w:p>
        </w:tc>
        <w:tc>
          <w:tcPr>
            <w:tcW w:w="5582" w:type="dxa"/>
          </w:tcPr>
          <w:p w14:paraId="3E485FE2" w14:textId="77777777" w:rsidR="00D628E0" w:rsidRDefault="00D628E0" w:rsidP="00746855">
            <w:pPr>
              <w:pStyle w:val="BodyText"/>
              <w:rPr>
                <w:lang w:val="en-US"/>
              </w:rPr>
            </w:pPr>
            <w:r>
              <w:t>45 dB+</w:t>
            </w:r>
            <w:r w:rsidRPr="00353B42">
              <w:rPr>
                <w:lang w:val="sv-SE"/>
              </w:rPr>
              <w:t>10*log</w:t>
            </w:r>
            <w:r>
              <w:rPr>
                <w:lang w:val="sv-SE"/>
              </w:rPr>
              <w:t>10 (3.3MHz/180 kHz)</w:t>
            </w:r>
          </w:p>
        </w:tc>
        <w:tc>
          <w:tcPr>
            <w:tcW w:w="3285" w:type="dxa"/>
          </w:tcPr>
          <w:p w14:paraId="79933804" w14:textId="77777777" w:rsidR="00D628E0" w:rsidRPr="00667201" w:rsidRDefault="00D628E0" w:rsidP="00746855">
            <w:pPr>
              <w:pStyle w:val="BodyText"/>
              <w:rPr>
                <w:lang w:val="sv-SE"/>
              </w:rPr>
            </w:pPr>
            <w:r>
              <w:rPr>
                <w:lang w:val="sv-SE"/>
              </w:rPr>
              <w:t>46 dB</w:t>
            </w:r>
          </w:p>
        </w:tc>
      </w:tr>
    </w:tbl>
    <w:p w14:paraId="40327B67" w14:textId="77777777" w:rsidR="00D628E0" w:rsidRDefault="00D628E0" w:rsidP="007819FC">
      <w:pPr>
        <w:pStyle w:val="BodyText"/>
        <w:jc w:val="both"/>
        <w:rPr>
          <w:lang w:val="en-US"/>
        </w:rPr>
      </w:pPr>
    </w:p>
    <w:p w14:paraId="1B6FDB82" w14:textId="7B75BE2C" w:rsidR="00D628E0" w:rsidRPr="00D628E0" w:rsidRDefault="00D628E0" w:rsidP="00D628E0">
      <w:pPr>
        <w:pStyle w:val="BodyText"/>
        <w:jc w:val="both"/>
        <w:rPr>
          <w:b/>
          <w:bCs/>
          <w:lang w:val="en-US"/>
        </w:rPr>
      </w:pPr>
      <w:r w:rsidRPr="00D628E0">
        <w:rPr>
          <w:b/>
          <w:bCs/>
          <w:lang w:val="en-US"/>
        </w:rPr>
        <w:lastRenderedPageBreak/>
        <w:t xml:space="preserve">Proposal </w:t>
      </w:r>
      <w:r>
        <w:rPr>
          <w:b/>
          <w:bCs/>
          <w:lang w:val="en-US"/>
        </w:rPr>
        <w:t>6</w:t>
      </w:r>
      <w:r w:rsidRPr="00D628E0">
        <w:rPr>
          <w:b/>
          <w:bCs/>
          <w:lang w:val="en-US"/>
        </w:rPr>
        <w:t xml:space="preserve">: for </w:t>
      </w:r>
      <w:r>
        <w:rPr>
          <w:b/>
          <w:bCs/>
          <w:lang w:val="en-US"/>
        </w:rPr>
        <w:t xml:space="preserve">AIoT device, it is proposed to assume a flat model </w:t>
      </w:r>
      <w:r w:rsidR="0094414E">
        <w:rPr>
          <w:b/>
          <w:bCs/>
          <w:lang w:val="en-US"/>
        </w:rPr>
        <w:t xml:space="preserve">in the co-existence study, while further discuss how the actual ACS and ACLR requirement would be specified during the normative phase stage. </w:t>
      </w:r>
    </w:p>
    <w:p w14:paraId="07925971" w14:textId="5FCB0E71" w:rsidR="00BC228E" w:rsidRPr="00BC228E" w:rsidRDefault="00BC228E" w:rsidP="00BC228E">
      <w:pPr>
        <w:pStyle w:val="Heading2"/>
        <w:numPr>
          <w:ilvl w:val="1"/>
          <w:numId w:val="8"/>
        </w:numPr>
        <w:jc w:val="both"/>
        <w:rPr>
          <w:bCs/>
          <w:lang w:val="en-US"/>
        </w:rPr>
      </w:pPr>
      <w:r>
        <w:rPr>
          <w:bCs/>
          <w:lang w:val="en-US"/>
        </w:rPr>
        <w:t xml:space="preserve">CFO/SFO </w:t>
      </w:r>
    </w:p>
    <w:p w14:paraId="7005CF75" w14:textId="0C3A60F3" w:rsidR="00473205" w:rsidRDefault="00C928C1" w:rsidP="007819FC">
      <w:pPr>
        <w:pStyle w:val="BodyText"/>
        <w:jc w:val="both"/>
        <w:rPr>
          <w:lang w:val="en-US"/>
        </w:rPr>
      </w:pPr>
      <w:r>
        <w:rPr>
          <w:lang w:val="en-US"/>
        </w:rPr>
        <w:t>In RAN1#</w:t>
      </w:r>
      <w:r w:rsidR="00EE0DB2">
        <w:rPr>
          <w:lang w:val="en-US"/>
        </w:rPr>
        <w:t>122bis meeting, the CFO/SFO assumption for device C and device 2B has been agreed:</w:t>
      </w:r>
    </w:p>
    <w:tbl>
      <w:tblPr>
        <w:tblStyle w:val="TableGrid"/>
        <w:tblW w:w="0" w:type="auto"/>
        <w:tblLook w:val="04A0" w:firstRow="1" w:lastRow="0" w:firstColumn="1" w:lastColumn="0" w:noHBand="0" w:noVBand="1"/>
      </w:tblPr>
      <w:tblGrid>
        <w:gridCol w:w="3681"/>
        <w:gridCol w:w="3260"/>
        <w:gridCol w:w="2690"/>
      </w:tblGrid>
      <w:tr w:rsidR="00EE0DB2" w14:paraId="30FA56A0" w14:textId="77777777" w:rsidTr="00746855">
        <w:tc>
          <w:tcPr>
            <w:tcW w:w="3681" w:type="dxa"/>
          </w:tcPr>
          <w:p w14:paraId="5CF3C387" w14:textId="77777777" w:rsidR="00EE0DB2" w:rsidRDefault="00EE0DB2" w:rsidP="00746855">
            <w:pPr>
              <w:jc w:val="both"/>
              <w:rPr>
                <w:rFonts w:eastAsiaTheme="minorEastAsia"/>
                <w:b/>
                <w:iCs/>
                <w:lang w:eastAsia="zh-CN"/>
              </w:rPr>
            </w:pPr>
          </w:p>
        </w:tc>
        <w:tc>
          <w:tcPr>
            <w:tcW w:w="3260" w:type="dxa"/>
          </w:tcPr>
          <w:p w14:paraId="0EA0F8B3" w14:textId="77777777" w:rsidR="00EE0DB2" w:rsidRDefault="00EE0DB2" w:rsidP="00746855">
            <w:pPr>
              <w:jc w:val="both"/>
              <w:rPr>
                <w:rFonts w:eastAsiaTheme="minorEastAsia"/>
                <w:b/>
                <w:iCs/>
                <w:lang w:eastAsia="zh-CN"/>
              </w:rPr>
            </w:pPr>
            <w:r>
              <w:rPr>
                <w:rFonts w:eastAsiaTheme="minorEastAsia"/>
                <w:b/>
                <w:iCs/>
                <w:lang w:eastAsia="zh-CN"/>
              </w:rPr>
              <w:t>Device 2b</w:t>
            </w:r>
          </w:p>
        </w:tc>
        <w:tc>
          <w:tcPr>
            <w:tcW w:w="2690" w:type="dxa"/>
          </w:tcPr>
          <w:p w14:paraId="507198A8" w14:textId="77777777" w:rsidR="00EE0DB2" w:rsidRDefault="00EE0DB2" w:rsidP="00746855">
            <w:pPr>
              <w:jc w:val="both"/>
              <w:rPr>
                <w:rFonts w:eastAsiaTheme="minorEastAsia"/>
                <w:b/>
                <w:iCs/>
                <w:lang w:eastAsia="zh-CN"/>
              </w:rPr>
            </w:pPr>
            <w:r>
              <w:rPr>
                <w:rFonts w:eastAsiaTheme="minorEastAsia"/>
                <w:b/>
                <w:iCs/>
                <w:lang w:eastAsia="zh-CN"/>
              </w:rPr>
              <w:t>Device C</w:t>
            </w:r>
          </w:p>
        </w:tc>
      </w:tr>
      <w:tr w:rsidR="00EE0DB2" w14:paraId="34780BBB" w14:textId="77777777" w:rsidTr="00746855">
        <w:tc>
          <w:tcPr>
            <w:tcW w:w="3681" w:type="dxa"/>
          </w:tcPr>
          <w:p w14:paraId="0ED9F9B1" w14:textId="77777777" w:rsidR="00EE0DB2" w:rsidRDefault="00EE0DB2" w:rsidP="00746855">
            <w:pPr>
              <w:jc w:val="both"/>
              <w:rPr>
                <w:rFonts w:eastAsiaTheme="minorEastAsia"/>
                <w:bCs/>
                <w:iCs/>
                <w:lang w:eastAsia="zh-CN"/>
              </w:rPr>
            </w:pPr>
            <w:r>
              <w:rPr>
                <w:rFonts w:eastAsiaTheme="minorEastAsia"/>
                <w:bCs/>
                <w:iCs/>
                <w:lang w:eastAsia="zh-CN"/>
              </w:rPr>
              <w:t>Initial SFO</w:t>
            </w:r>
          </w:p>
        </w:tc>
        <w:tc>
          <w:tcPr>
            <w:tcW w:w="3260" w:type="dxa"/>
          </w:tcPr>
          <w:p w14:paraId="5B4CAC4D" w14:textId="77777777" w:rsidR="00EE0DB2" w:rsidRDefault="00EE0DB2" w:rsidP="00746855">
            <w:pPr>
              <w:jc w:val="both"/>
              <w:rPr>
                <w:rFonts w:eastAsiaTheme="minorEastAsia"/>
                <w:bCs/>
                <w:iCs/>
                <w:lang w:eastAsia="zh-CN"/>
              </w:rPr>
            </w:pPr>
            <w:r>
              <w:rPr>
                <w:rFonts w:eastAsiaTheme="minorEastAsia"/>
                <w:bCs/>
                <w:iCs/>
                <w:lang w:eastAsia="zh-CN"/>
              </w:rPr>
              <w:t>Randomly select a value from the range of 10^3~10^4 ppm</w:t>
            </w:r>
          </w:p>
        </w:tc>
        <w:tc>
          <w:tcPr>
            <w:tcW w:w="2690" w:type="dxa"/>
          </w:tcPr>
          <w:p w14:paraId="277AFE3C" w14:textId="3A46C364" w:rsidR="00EE0DB2" w:rsidRDefault="00EE0DB2" w:rsidP="00746855">
            <w:pPr>
              <w:jc w:val="both"/>
              <w:rPr>
                <w:rFonts w:eastAsiaTheme="minorEastAsia"/>
                <w:bCs/>
                <w:iCs/>
                <w:lang w:eastAsia="zh-CN"/>
              </w:rPr>
            </w:pPr>
            <w:r>
              <w:rPr>
                <w:rFonts w:eastAsiaTheme="minorEastAsia"/>
                <w:bCs/>
                <w:iCs/>
                <w:lang w:eastAsia="zh-CN"/>
              </w:rPr>
              <w:t>50 ppm</w:t>
            </w:r>
          </w:p>
        </w:tc>
      </w:tr>
      <w:tr w:rsidR="00EE0DB2" w14:paraId="680DC452" w14:textId="77777777" w:rsidTr="00746855">
        <w:tc>
          <w:tcPr>
            <w:tcW w:w="3681" w:type="dxa"/>
          </w:tcPr>
          <w:p w14:paraId="7C66C6CB" w14:textId="77777777" w:rsidR="00EE0DB2" w:rsidRDefault="00EE0DB2" w:rsidP="00746855">
            <w:pPr>
              <w:jc w:val="both"/>
              <w:rPr>
                <w:rFonts w:eastAsiaTheme="minorEastAsia"/>
                <w:bCs/>
                <w:iCs/>
                <w:lang w:eastAsia="zh-CN"/>
              </w:rPr>
            </w:pPr>
            <w:r>
              <w:rPr>
                <w:rFonts w:eastAsiaTheme="minorEastAsia"/>
                <w:bCs/>
                <w:iCs/>
                <w:lang w:eastAsia="zh-CN"/>
              </w:rPr>
              <w:t>SFO after clock sync/calibration</w:t>
            </w:r>
          </w:p>
        </w:tc>
        <w:tc>
          <w:tcPr>
            <w:tcW w:w="3260" w:type="dxa"/>
          </w:tcPr>
          <w:p w14:paraId="0DE54CFD" w14:textId="77777777" w:rsidR="00EE0DB2" w:rsidRDefault="00EE0DB2" w:rsidP="00746855">
            <w:pPr>
              <w:jc w:val="both"/>
              <w:rPr>
                <w:rFonts w:eastAsiaTheme="minorEastAsia"/>
                <w:bCs/>
                <w:iCs/>
                <w:strike/>
                <w:lang w:eastAsia="zh-CN"/>
              </w:rPr>
            </w:pPr>
            <w:r>
              <w:rPr>
                <w:rFonts w:eastAsiaTheme="minorEastAsia"/>
                <w:bCs/>
                <w:iCs/>
                <w:lang w:eastAsia="zh-CN"/>
              </w:rPr>
              <w:t>10^2 (O), 10^3 (M) ppm</w:t>
            </w:r>
          </w:p>
        </w:tc>
        <w:tc>
          <w:tcPr>
            <w:tcW w:w="2690" w:type="dxa"/>
          </w:tcPr>
          <w:p w14:paraId="30C74779" w14:textId="6E4DA023" w:rsidR="00EE0DB2" w:rsidRDefault="00EE0DB2" w:rsidP="00746855">
            <w:pPr>
              <w:jc w:val="both"/>
              <w:rPr>
                <w:rFonts w:eastAsiaTheme="minorEastAsia"/>
                <w:bCs/>
                <w:iCs/>
                <w:lang w:eastAsia="zh-CN"/>
              </w:rPr>
            </w:pPr>
            <w:r>
              <w:rPr>
                <w:rFonts w:eastAsiaTheme="minorEastAsia"/>
                <w:bCs/>
                <w:iCs/>
                <w:lang w:eastAsia="zh-CN"/>
              </w:rPr>
              <w:t>10 ppm</w:t>
            </w:r>
          </w:p>
        </w:tc>
      </w:tr>
      <w:tr w:rsidR="00EE0DB2" w14:paraId="2353EC12" w14:textId="77777777" w:rsidTr="00746855">
        <w:tc>
          <w:tcPr>
            <w:tcW w:w="3681" w:type="dxa"/>
          </w:tcPr>
          <w:p w14:paraId="7331760C" w14:textId="77777777" w:rsidR="00EE0DB2" w:rsidRDefault="00EE0DB2" w:rsidP="00746855">
            <w:pPr>
              <w:jc w:val="both"/>
              <w:rPr>
                <w:rFonts w:eastAsiaTheme="minorEastAsia"/>
                <w:bCs/>
                <w:iCs/>
                <w:lang w:eastAsia="zh-CN"/>
              </w:rPr>
            </w:pPr>
            <w:r>
              <w:rPr>
                <w:rFonts w:eastAsiaTheme="minorEastAsia"/>
                <w:bCs/>
                <w:iCs/>
                <w:lang w:eastAsia="zh-CN"/>
              </w:rPr>
              <w:t>Initial CFO</w:t>
            </w:r>
          </w:p>
        </w:tc>
        <w:tc>
          <w:tcPr>
            <w:tcW w:w="3260" w:type="dxa"/>
          </w:tcPr>
          <w:p w14:paraId="4B8A98A7" w14:textId="77777777" w:rsidR="00EE0DB2" w:rsidRDefault="00EE0DB2" w:rsidP="00746855">
            <w:pPr>
              <w:rPr>
                <w:rFonts w:eastAsiaTheme="minorEastAsia"/>
                <w:bCs/>
                <w:iCs/>
                <w:lang w:eastAsia="zh-CN"/>
              </w:rPr>
            </w:pPr>
            <w:r>
              <w:rPr>
                <w:rFonts w:eastAsiaTheme="minorEastAsia"/>
                <w:bCs/>
                <w:iCs/>
                <w:lang w:eastAsia="zh-CN"/>
              </w:rPr>
              <w:t>Randomly select a value from the range of 10^3~10^4 ppm</w:t>
            </w:r>
          </w:p>
        </w:tc>
        <w:tc>
          <w:tcPr>
            <w:tcW w:w="2690" w:type="dxa"/>
          </w:tcPr>
          <w:p w14:paraId="1F0F26E5" w14:textId="0D00E4B8" w:rsidR="00EE0DB2" w:rsidRDefault="00EE0DB2" w:rsidP="00746855">
            <w:pPr>
              <w:jc w:val="both"/>
              <w:rPr>
                <w:rFonts w:eastAsiaTheme="minorEastAsia"/>
                <w:bCs/>
                <w:iCs/>
                <w:lang w:eastAsia="zh-CN"/>
              </w:rPr>
            </w:pPr>
            <w:r>
              <w:rPr>
                <w:rFonts w:eastAsiaTheme="minorEastAsia"/>
                <w:bCs/>
                <w:iCs/>
                <w:lang w:eastAsia="zh-CN"/>
              </w:rPr>
              <w:t>50 ppm</w:t>
            </w:r>
          </w:p>
        </w:tc>
      </w:tr>
      <w:tr w:rsidR="00EE0DB2" w14:paraId="2B634B65" w14:textId="77777777" w:rsidTr="00746855">
        <w:tc>
          <w:tcPr>
            <w:tcW w:w="3681" w:type="dxa"/>
          </w:tcPr>
          <w:p w14:paraId="65942FF3" w14:textId="77777777" w:rsidR="00EE0DB2" w:rsidRDefault="00EE0DB2" w:rsidP="00746855">
            <w:pPr>
              <w:jc w:val="both"/>
              <w:rPr>
                <w:rFonts w:eastAsiaTheme="minorEastAsia"/>
                <w:bCs/>
                <w:iCs/>
                <w:lang w:eastAsia="zh-CN"/>
              </w:rPr>
            </w:pPr>
            <w:r>
              <w:rPr>
                <w:rFonts w:eastAsiaTheme="minorEastAsia"/>
                <w:bCs/>
                <w:iCs/>
                <w:lang w:eastAsia="zh-CN"/>
              </w:rPr>
              <w:t>CFO after clock sync/calibration</w:t>
            </w:r>
          </w:p>
        </w:tc>
        <w:tc>
          <w:tcPr>
            <w:tcW w:w="3260" w:type="dxa"/>
          </w:tcPr>
          <w:p w14:paraId="01006D13" w14:textId="77777777" w:rsidR="00EE0DB2" w:rsidRDefault="00EE0DB2" w:rsidP="00746855">
            <w:pPr>
              <w:jc w:val="both"/>
              <w:rPr>
                <w:rFonts w:eastAsiaTheme="minorEastAsia"/>
                <w:bCs/>
                <w:iCs/>
                <w:lang w:eastAsia="zh-CN"/>
              </w:rPr>
            </w:pPr>
            <w:r>
              <w:rPr>
                <w:rFonts w:eastAsiaTheme="minorEastAsia"/>
                <w:bCs/>
                <w:iCs/>
                <w:lang w:eastAsia="zh-CN"/>
              </w:rPr>
              <w:t>100 (M), 200 (O), 50 (O) ppm</w:t>
            </w:r>
          </w:p>
        </w:tc>
        <w:tc>
          <w:tcPr>
            <w:tcW w:w="2690" w:type="dxa"/>
          </w:tcPr>
          <w:p w14:paraId="086525AE" w14:textId="72F058D8" w:rsidR="00EE0DB2" w:rsidRDefault="00EE0DB2" w:rsidP="00746855">
            <w:pPr>
              <w:jc w:val="both"/>
              <w:rPr>
                <w:rFonts w:eastAsiaTheme="minorEastAsia"/>
                <w:bCs/>
                <w:iCs/>
                <w:lang w:eastAsia="zh-CN"/>
              </w:rPr>
            </w:pPr>
            <w:r w:rsidRPr="00EE0DB2">
              <w:rPr>
                <w:rFonts w:eastAsiaTheme="minorEastAsia"/>
                <w:bCs/>
                <w:iCs/>
                <w:lang w:eastAsia="zh-CN"/>
              </w:rPr>
              <w:t>10</w:t>
            </w:r>
            <w:r w:rsidRPr="00EE0DB2">
              <w:rPr>
                <w:rFonts w:eastAsiaTheme="minorEastAsia"/>
                <w:bCs/>
                <w:iCs/>
                <w:color w:val="FF0000"/>
                <w:lang w:eastAsia="zh-CN"/>
              </w:rPr>
              <w:t xml:space="preserve"> </w:t>
            </w:r>
            <w:r w:rsidRPr="00EE0DB2">
              <w:rPr>
                <w:rFonts w:eastAsiaTheme="minorEastAsia"/>
                <w:bCs/>
                <w:iCs/>
                <w:lang w:eastAsia="zh-CN"/>
              </w:rPr>
              <w:t>ppm</w:t>
            </w:r>
          </w:p>
        </w:tc>
      </w:tr>
    </w:tbl>
    <w:p w14:paraId="1B50361A" w14:textId="77777777" w:rsidR="00EE0DB2" w:rsidRDefault="00EE0DB2" w:rsidP="00EE0DB2">
      <w:pPr>
        <w:rPr>
          <w:rFonts w:eastAsiaTheme="minorEastAsia"/>
          <w:lang w:eastAsia="zh-CN"/>
        </w:rPr>
      </w:pPr>
    </w:p>
    <w:p w14:paraId="0EA8C844" w14:textId="05AC3C72" w:rsidR="00EE0DB2" w:rsidRDefault="00EE0DB2" w:rsidP="00534A1C">
      <w:pPr>
        <w:jc w:val="both"/>
        <w:rPr>
          <w:rFonts w:eastAsiaTheme="minorEastAsia"/>
          <w:lang w:eastAsia="zh-CN"/>
        </w:rPr>
      </w:pPr>
      <w:r>
        <w:rPr>
          <w:rFonts w:eastAsiaTheme="minorEastAsia"/>
          <w:lang w:eastAsia="zh-CN"/>
        </w:rPr>
        <w:t xml:space="preserve">Taking device C as a example, 10 ppm means 9 kHz frequency shift at 900 MHz which is </w:t>
      </w:r>
      <w:r w:rsidR="000500A2">
        <w:rPr>
          <w:rFonts w:eastAsiaTheme="minorEastAsia"/>
          <w:lang w:eastAsia="zh-CN"/>
        </w:rPr>
        <w:t>significantly</w:t>
      </w:r>
      <w:r>
        <w:rPr>
          <w:rFonts w:eastAsiaTheme="minorEastAsia"/>
          <w:lang w:eastAsia="zh-CN"/>
        </w:rPr>
        <w:t xml:space="preserve"> considering the transmission BW of AIoT device </w:t>
      </w:r>
      <w:r w:rsidR="000500A2">
        <w:rPr>
          <w:rFonts w:eastAsiaTheme="minorEastAsia"/>
          <w:lang w:eastAsia="zh-CN"/>
        </w:rPr>
        <w:t xml:space="preserve">is around 15 kHz only. RAN4 needs to study how to accommodate such a large CFO </w:t>
      </w:r>
      <w:r w:rsidR="00534A1C">
        <w:rPr>
          <w:rFonts w:eastAsiaTheme="minorEastAsia"/>
          <w:lang w:eastAsia="zh-CN"/>
        </w:rPr>
        <w:t>for outdoor AIoT devices</w:t>
      </w:r>
    </w:p>
    <w:p w14:paraId="18C569A2" w14:textId="53256083" w:rsidR="00EE0DB2" w:rsidRPr="003A7A5E" w:rsidRDefault="00534A1C" w:rsidP="007819FC">
      <w:pPr>
        <w:pStyle w:val="BodyText"/>
        <w:jc w:val="both"/>
        <w:rPr>
          <w:b/>
          <w:bCs/>
          <w:lang w:val="en-US"/>
        </w:rPr>
      </w:pPr>
      <w:r w:rsidRPr="003A7A5E">
        <w:rPr>
          <w:b/>
          <w:bCs/>
          <w:lang w:val="en-US"/>
        </w:rPr>
        <w:t>Observation</w:t>
      </w:r>
      <w:r w:rsidR="006429A2">
        <w:rPr>
          <w:b/>
          <w:bCs/>
          <w:lang w:val="en-US"/>
        </w:rPr>
        <w:t xml:space="preserve"> 3</w:t>
      </w:r>
      <w:r w:rsidRPr="003A7A5E">
        <w:rPr>
          <w:b/>
          <w:bCs/>
          <w:lang w:val="en-US"/>
        </w:rPr>
        <w:t xml:space="preserve">: very large CFO is assumed in RAN1 for both device 2b and device C. </w:t>
      </w:r>
    </w:p>
    <w:p w14:paraId="3D265969" w14:textId="4D03E7FB" w:rsidR="00534A1C" w:rsidRPr="003A7A5E" w:rsidRDefault="00534A1C" w:rsidP="007819FC">
      <w:pPr>
        <w:pStyle w:val="BodyText"/>
        <w:jc w:val="both"/>
        <w:rPr>
          <w:b/>
          <w:bCs/>
          <w:lang w:val="en-US"/>
        </w:rPr>
      </w:pPr>
      <w:r w:rsidRPr="003A7A5E">
        <w:rPr>
          <w:b/>
          <w:bCs/>
          <w:lang w:val="en-US"/>
        </w:rPr>
        <w:t xml:space="preserve">Proposal 7: RAN4 shall study how to handle such a large CFO </w:t>
      </w:r>
      <w:r w:rsidR="003A7A5E" w:rsidRPr="003A7A5E">
        <w:rPr>
          <w:b/>
          <w:bCs/>
          <w:lang w:val="en-US"/>
        </w:rPr>
        <w:t xml:space="preserve">for outdoor AIoT devices.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9AEFD24" w14:textId="0F6F6C71" w:rsidR="004E3C11" w:rsidRDefault="004E3C11" w:rsidP="004E3C11">
      <w:pPr>
        <w:pStyle w:val="BodyText"/>
        <w:rPr>
          <w:lang w:val="en-US"/>
        </w:rPr>
      </w:pPr>
      <w:r w:rsidRPr="00DF05CD">
        <w:rPr>
          <w:lang w:val="en-US"/>
        </w:rPr>
        <w:t xml:space="preserve">In this contribution, we share our </w:t>
      </w:r>
      <w:r w:rsidR="006429A2">
        <w:rPr>
          <w:lang w:val="en-US"/>
        </w:rPr>
        <w:t xml:space="preserve">analysis based on some initial co-existence simulation results, </w:t>
      </w:r>
      <w:r w:rsidR="0067223E" w:rsidRPr="00DF05CD">
        <w:rPr>
          <w:lang w:val="en-US"/>
        </w:rPr>
        <w:t xml:space="preserve">where the following observations and proposals are given: </w:t>
      </w:r>
    </w:p>
    <w:p w14:paraId="009C4577" w14:textId="77777777" w:rsidR="006429A2" w:rsidRPr="00936DB0" w:rsidRDefault="006429A2" w:rsidP="006429A2">
      <w:pPr>
        <w:pStyle w:val="BodyText"/>
        <w:jc w:val="both"/>
        <w:rPr>
          <w:rFonts w:eastAsiaTheme="minorEastAsia"/>
          <w:b/>
          <w:bCs/>
          <w:lang w:val="en-US" w:eastAsia="zh-CN"/>
        </w:rPr>
      </w:pPr>
      <w:r w:rsidRPr="00936DB0">
        <w:rPr>
          <w:b/>
          <w:bCs/>
          <w:lang w:val="en-US"/>
        </w:rPr>
        <w:t xml:space="preserve">Observation 1: </w:t>
      </w:r>
      <w:r w:rsidRPr="00936DB0">
        <w:rPr>
          <w:rFonts w:eastAsiaTheme="minorEastAsia"/>
          <w:b/>
          <w:bCs/>
          <w:lang w:val="en-US" w:eastAsia="zh-CN"/>
        </w:rPr>
        <w:t>it can be assumed the ACLR performance of AIoT reader is similar to NR BS.</w:t>
      </w:r>
    </w:p>
    <w:p w14:paraId="0ED2D639" w14:textId="77777777" w:rsidR="006429A2" w:rsidRDefault="006429A2" w:rsidP="006429A2">
      <w:pPr>
        <w:pStyle w:val="BodyText"/>
        <w:jc w:val="both"/>
        <w:rPr>
          <w:rFonts w:eastAsiaTheme="minorEastAsia"/>
          <w:b/>
          <w:bCs/>
          <w:lang w:eastAsia="zh-CN"/>
        </w:rPr>
      </w:pPr>
      <w:r w:rsidRPr="00064C17">
        <w:rPr>
          <w:rFonts w:eastAsiaTheme="minorEastAsia"/>
          <w:b/>
          <w:bCs/>
          <w:lang w:eastAsia="zh-CN"/>
        </w:rPr>
        <w:t xml:space="preserve">Observation 2: assuming the R2D SINR decoding threshold in the range about 10 dB, around 50% AIoT devices would be below such a threshold. </w:t>
      </w:r>
    </w:p>
    <w:p w14:paraId="2F5E3FDC" w14:textId="77777777" w:rsidR="006429A2" w:rsidRPr="003A7A5E" w:rsidRDefault="006429A2" w:rsidP="006429A2">
      <w:pPr>
        <w:pStyle w:val="BodyText"/>
        <w:jc w:val="both"/>
        <w:rPr>
          <w:b/>
          <w:bCs/>
          <w:lang w:val="en-US"/>
        </w:rPr>
      </w:pPr>
      <w:r w:rsidRPr="003A7A5E">
        <w:rPr>
          <w:b/>
          <w:bCs/>
          <w:lang w:val="en-US"/>
        </w:rPr>
        <w:t>Observation</w:t>
      </w:r>
      <w:r>
        <w:rPr>
          <w:b/>
          <w:bCs/>
          <w:lang w:val="en-US"/>
        </w:rPr>
        <w:t xml:space="preserve"> 3</w:t>
      </w:r>
      <w:r w:rsidRPr="003A7A5E">
        <w:rPr>
          <w:b/>
          <w:bCs/>
          <w:lang w:val="en-US"/>
        </w:rPr>
        <w:t xml:space="preserve">: very large CFO is assumed in RAN1 for both device 2b and device C. </w:t>
      </w:r>
    </w:p>
    <w:p w14:paraId="766C2F44" w14:textId="7C774E12" w:rsidR="006429A2" w:rsidRPr="006429A2" w:rsidRDefault="006429A2" w:rsidP="006429A2">
      <w:pPr>
        <w:pStyle w:val="BodyText"/>
        <w:jc w:val="both"/>
        <w:rPr>
          <w:rFonts w:eastAsiaTheme="minorEastAsia"/>
          <w:b/>
          <w:bCs/>
          <w:lang w:val="en-US" w:eastAsia="zh-CN"/>
        </w:rPr>
      </w:pPr>
      <w:r w:rsidRPr="00936DB0">
        <w:rPr>
          <w:rFonts w:eastAsiaTheme="minorEastAsia"/>
          <w:b/>
          <w:bCs/>
          <w:lang w:val="en-US" w:eastAsia="zh-CN"/>
        </w:rPr>
        <w:t xml:space="preserve">Proposal 1: down prioritize the co-existence on AIoT reader as aggressor to NR UE. </w:t>
      </w:r>
    </w:p>
    <w:p w14:paraId="49711462" w14:textId="77777777" w:rsidR="006429A2" w:rsidRDefault="006429A2" w:rsidP="006429A2">
      <w:pPr>
        <w:pStyle w:val="BodyText"/>
        <w:jc w:val="both"/>
        <w:rPr>
          <w:rFonts w:eastAsiaTheme="minorEastAsia"/>
          <w:b/>
          <w:bCs/>
          <w:lang w:eastAsia="zh-CN"/>
        </w:rPr>
      </w:pPr>
      <w:r w:rsidRPr="003C204D">
        <w:rPr>
          <w:rFonts w:eastAsiaTheme="minorEastAsia"/>
          <w:b/>
          <w:bCs/>
          <w:lang w:eastAsia="zh-CN"/>
        </w:rPr>
        <w:t xml:space="preserve">Proposal 2: </w:t>
      </w:r>
      <w:r>
        <w:rPr>
          <w:rFonts w:eastAsiaTheme="minorEastAsia"/>
          <w:b/>
          <w:bCs/>
          <w:lang w:eastAsia="zh-CN"/>
        </w:rPr>
        <w:t xml:space="preserve">RAN 4 shall study </w:t>
      </w:r>
      <w:r w:rsidRPr="003C204D">
        <w:rPr>
          <w:rFonts w:eastAsiaTheme="minorEastAsia"/>
          <w:b/>
          <w:bCs/>
          <w:lang w:eastAsia="zh-CN"/>
        </w:rPr>
        <w:t>mechanism</w:t>
      </w:r>
      <w:r>
        <w:rPr>
          <w:rFonts w:eastAsiaTheme="minorEastAsia"/>
          <w:b/>
          <w:bCs/>
          <w:lang w:eastAsia="zh-CN"/>
        </w:rPr>
        <w:t>s</w:t>
      </w:r>
      <w:r w:rsidRPr="003C204D">
        <w:rPr>
          <w:rFonts w:eastAsiaTheme="minorEastAsia"/>
          <w:b/>
          <w:bCs/>
          <w:lang w:eastAsia="zh-CN"/>
        </w:rPr>
        <w:t xml:space="preserve"> to </w:t>
      </w:r>
      <w:r>
        <w:rPr>
          <w:rFonts w:eastAsiaTheme="minorEastAsia"/>
          <w:b/>
          <w:bCs/>
          <w:lang w:eastAsia="zh-CN"/>
        </w:rPr>
        <w:t>reduce</w:t>
      </w:r>
      <w:r w:rsidRPr="003C204D">
        <w:rPr>
          <w:rFonts w:eastAsiaTheme="minorEastAsia"/>
          <w:b/>
          <w:bCs/>
          <w:lang w:eastAsia="zh-CN"/>
        </w:rPr>
        <w:t xml:space="preserve"> the intra system interference, e.g., TDM or FDM between different readers.</w:t>
      </w:r>
    </w:p>
    <w:p w14:paraId="1EA1DB76" w14:textId="77777777" w:rsidR="006429A2" w:rsidRDefault="006429A2" w:rsidP="006429A2">
      <w:pPr>
        <w:pStyle w:val="BodyText"/>
        <w:jc w:val="both"/>
        <w:rPr>
          <w:rFonts w:eastAsiaTheme="minorEastAsia"/>
          <w:b/>
          <w:bCs/>
          <w:lang w:eastAsia="zh-CN"/>
        </w:rPr>
      </w:pPr>
      <w:r w:rsidRPr="00940E25">
        <w:rPr>
          <w:rFonts w:eastAsiaTheme="minorEastAsia"/>
          <w:b/>
          <w:bCs/>
          <w:lang w:eastAsia="zh-CN"/>
        </w:rPr>
        <w:t>Proposal 3: considering the 5% TP loss of NR system as the performance metric to evaluate the needed ACLR level of AIoT devices.</w:t>
      </w:r>
    </w:p>
    <w:p w14:paraId="6D58D641" w14:textId="77777777" w:rsidR="006429A2" w:rsidRPr="006429A2" w:rsidRDefault="006429A2" w:rsidP="006429A2">
      <w:pPr>
        <w:pStyle w:val="BodyText"/>
        <w:jc w:val="both"/>
        <w:rPr>
          <w:rFonts w:eastAsiaTheme="minorEastAsia"/>
          <w:b/>
          <w:bCs/>
          <w:lang w:eastAsia="zh-CN"/>
        </w:rPr>
      </w:pPr>
      <w:r>
        <w:rPr>
          <w:rFonts w:eastAsiaTheme="minorEastAsia"/>
          <w:b/>
          <w:bCs/>
          <w:lang w:eastAsia="zh-CN"/>
        </w:rPr>
        <w:t xml:space="preserve">Proposal 4: RAN4 shall study the mechanisms to improve the intra system SINR performance of D2R link </w:t>
      </w:r>
    </w:p>
    <w:p w14:paraId="685B4ACC" w14:textId="77777777" w:rsidR="006429A2" w:rsidRPr="00D628E0" w:rsidRDefault="006429A2" w:rsidP="006429A2">
      <w:pPr>
        <w:pStyle w:val="BodyText"/>
        <w:jc w:val="both"/>
        <w:rPr>
          <w:b/>
          <w:bCs/>
          <w:lang w:val="en-US"/>
        </w:rPr>
      </w:pPr>
      <w:r w:rsidRPr="00D628E0">
        <w:rPr>
          <w:b/>
          <w:bCs/>
          <w:lang w:val="en-US"/>
        </w:rPr>
        <w:t>Proposal 5: for NR BS and UE, adopt the following model for ACS and ACLR:</w:t>
      </w:r>
    </w:p>
    <w:p w14:paraId="7BB46092" w14:textId="77777777" w:rsidR="006429A2" w:rsidRPr="00D628E0" w:rsidRDefault="006429A2" w:rsidP="006429A2">
      <w:pPr>
        <w:pStyle w:val="BodyText"/>
        <w:jc w:val="both"/>
        <w:rPr>
          <w:b/>
          <w:bCs/>
          <w:lang w:val="en-US"/>
        </w:rPr>
      </w:pPr>
      <w:r w:rsidRPr="00D628E0">
        <w:rPr>
          <w:b/>
          <w:bCs/>
          <w:lang w:val="en-US"/>
        </w:rPr>
        <w:t xml:space="preserve">Proposal </w:t>
      </w:r>
      <w:r>
        <w:rPr>
          <w:b/>
          <w:bCs/>
          <w:lang w:val="en-US"/>
        </w:rPr>
        <w:t>6</w:t>
      </w:r>
      <w:r w:rsidRPr="00D628E0">
        <w:rPr>
          <w:b/>
          <w:bCs/>
          <w:lang w:val="en-US"/>
        </w:rPr>
        <w:t xml:space="preserve">: for </w:t>
      </w:r>
      <w:r>
        <w:rPr>
          <w:b/>
          <w:bCs/>
          <w:lang w:val="en-US"/>
        </w:rPr>
        <w:t xml:space="preserve">AIoT device, it is proposed to assume a flat model in the co-existence study, while further discuss how the actual ACS and ACLR requirement would be specified during the normative phase stage. </w:t>
      </w:r>
    </w:p>
    <w:p w14:paraId="423DED5B" w14:textId="77777777" w:rsidR="006429A2" w:rsidRPr="003A7A5E" w:rsidRDefault="006429A2" w:rsidP="006429A2">
      <w:pPr>
        <w:pStyle w:val="BodyText"/>
        <w:jc w:val="both"/>
        <w:rPr>
          <w:b/>
          <w:bCs/>
          <w:lang w:val="en-US"/>
        </w:rPr>
      </w:pPr>
      <w:r w:rsidRPr="003A7A5E">
        <w:rPr>
          <w:b/>
          <w:bCs/>
          <w:lang w:val="en-US"/>
        </w:rPr>
        <w:t xml:space="preserve">Proposal 7: RAN4 shall study how to handle such a large CFO for outdoor AIoT devices.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F7B3BE8" w14:textId="20346F94" w:rsidR="006429A2" w:rsidRPr="00C31318" w:rsidRDefault="006429A2" w:rsidP="00C31318">
      <w:pPr>
        <w:pStyle w:val="ListParagraph"/>
        <w:numPr>
          <w:ilvl w:val="0"/>
          <w:numId w:val="7"/>
        </w:numPr>
        <w:rPr>
          <w:lang w:val="en-US"/>
        </w:rPr>
      </w:pPr>
      <w:r w:rsidRPr="006429A2">
        <w:rPr>
          <w:lang w:val="en-US"/>
        </w:rPr>
        <w:t>R4-2515152</w:t>
      </w:r>
      <w:r w:rsidRPr="006429A2">
        <w:rPr>
          <w:lang w:val="en-US"/>
        </w:rPr>
        <w:tab/>
      </w:r>
      <w:r>
        <w:rPr>
          <w:lang w:val="en-US"/>
        </w:rPr>
        <w:tab/>
      </w:r>
      <w:r w:rsidRPr="006429A2">
        <w:rPr>
          <w:lang w:val="en-US"/>
        </w:rPr>
        <w:t>Way Forward for [116bis][321] Study of A-IoT for outdoor</w:t>
      </w:r>
      <w:r w:rsidRPr="006429A2">
        <w:rPr>
          <w:lang w:val="en-US"/>
        </w:rPr>
        <w:tab/>
        <w:t>LGE</w:t>
      </w:r>
    </w:p>
    <w:p w14:paraId="57BAB121" w14:textId="77777777" w:rsidR="00C31318" w:rsidRDefault="00C31318" w:rsidP="00C31318">
      <w:pPr>
        <w:pStyle w:val="BodyText"/>
        <w:jc w:val="both"/>
        <w:rPr>
          <w:lang w:val="en-US"/>
        </w:rPr>
      </w:pP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5154" w14:textId="77777777" w:rsidR="006C7BBC" w:rsidRDefault="006C7BBC">
      <w:r>
        <w:separator/>
      </w:r>
    </w:p>
  </w:endnote>
  <w:endnote w:type="continuationSeparator" w:id="0">
    <w:p w14:paraId="16F7CD41" w14:textId="77777777" w:rsidR="006C7BBC" w:rsidRDefault="006C7BBC">
      <w:r>
        <w:continuationSeparator/>
      </w:r>
    </w:p>
  </w:endnote>
  <w:endnote w:type="continuationNotice" w:id="1">
    <w:p w14:paraId="34340E0C" w14:textId="77777777" w:rsidR="006C7BBC" w:rsidRDefault="006C7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FF607" w14:textId="77777777" w:rsidR="006C7BBC" w:rsidRDefault="006C7BBC">
      <w:r>
        <w:separator/>
      </w:r>
    </w:p>
  </w:footnote>
  <w:footnote w:type="continuationSeparator" w:id="0">
    <w:p w14:paraId="39715DA0" w14:textId="77777777" w:rsidR="006C7BBC" w:rsidRDefault="006C7BBC">
      <w:r>
        <w:continuationSeparator/>
      </w:r>
    </w:p>
  </w:footnote>
  <w:footnote w:type="continuationNotice" w:id="1">
    <w:p w14:paraId="1ABB21FF" w14:textId="77777777" w:rsidR="006C7BBC" w:rsidRDefault="006C7BBC">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A712DDB"/>
    <w:multiLevelType w:val="hybridMultilevel"/>
    <w:tmpl w:val="A252B32C"/>
    <w:lvl w:ilvl="0" w:tplc="2F289D6C">
      <w:start w:val="1"/>
      <w:numFmt w:val="bullet"/>
      <w:lvlText w:val="-"/>
      <w:lvlJc w:val="left"/>
      <w:pPr>
        <w:ind w:left="1160" w:hanging="360"/>
      </w:pPr>
      <w:rPr>
        <w:rFonts w:ascii="Times New Roman" w:eastAsia="Malgun Gothic"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4"/>
  </w:num>
  <w:num w:numId="4" w16cid:durableId="2064253360">
    <w:abstractNumId w:val="3"/>
  </w:num>
  <w:num w:numId="5" w16cid:durableId="1574699480">
    <w:abstractNumId w:val="1"/>
  </w:num>
  <w:num w:numId="6" w16cid:durableId="524296388">
    <w:abstractNumId w:val="7"/>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1"/>
  </w:num>
  <w:num w:numId="10" w16cid:durableId="1606157589">
    <w:abstractNumId w:val="13"/>
  </w:num>
  <w:num w:numId="11" w16cid:durableId="597327424">
    <w:abstractNumId w:val="8"/>
  </w:num>
  <w:num w:numId="12" w16cid:durableId="1051151590">
    <w:abstractNumId w:val="9"/>
  </w:num>
  <w:num w:numId="13" w16cid:durableId="590116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6330016">
    <w:abstractNumId w:val="10"/>
  </w:num>
  <w:num w:numId="15" w16cid:durableId="180047566">
    <w:abstractNumId w:val="12"/>
  </w:num>
  <w:num w:numId="16" w16cid:durableId="11837898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0FADrbKqk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577"/>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96"/>
    <w:rsid w:val="00016CF1"/>
    <w:rsid w:val="000171BA"/>
    <w:rsid w:val="000172C8"/>
    <w:rsid w:val="00017365"/>
    <w:rsid w:val="0001767F"/>
    <w:rsid w:val="000177E8"/>
    <w:rsid w:val="00017D10"/>
    <w:rsid w:val="00017E61"/>
    <w:rsid w:val="00017F70"/>
    <w:rsid w:val="00017FB7"/>
    <w:rsid w:val="0002000D"/>
    <w:rsid w:val="0002027F"/>
    <w:rsid w:val="0002053A"/>
    <w:rsid w:val="000205AD"/>
    <w:rsid w:val="0002074C"/>
    <w:rsid w:val="00020856"/>
    <w:rsid w:val="0002096C"/>
    <w:rsid w:val="00020B90"/>
    <w:rsid w:val="0002185B"/>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A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60D"/>
    <w:rsid w:val="00034629"/>
    <w:rsid w:val="00034A23"/>
    <w:rsid w:val="00035209"/>
    <w:rsid w:val="000352BA"/>
    <w:rsid w:val="00035750"/>
    <w:rsid w:val="00036205"/>
    <w:rsid w:val="000368B9"/>
    <w:rsid w:val="00036C32"/>
    <w:rsid w:val="00036E28"/>
    <w:rsid w:val="000375C6"/>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0A2"/>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0B6"/>
    <w:rsid w:val="0005346A"/>
    <w:rsid w:val="0005352F"/>
    <w:rsid w:val="00053817"/>
    <w:rsid w:val="00053876"/>
    <w:rsid w:val="00053D94"/>
    <w:rsid w:val="0005415F"/>
    <w:rsid w:val="0005430C"/>
    <w:rsid w:val="0005441F"/>
    <w:rsid w:val="000545B9"/>
    <w:rsid w:val="00054619"/>
    <w:rsid w:val="00054DCC"/>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1B1"/>
    <w:rsid w:val="000634C7"/>
    <w:rsid w:val="0006351F"/>
    <w:rsid w:val="000639A2"/>
    <w:rsid w:val="00064C17"/>
    <w:rsid w:val="00064ED7"/>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105"/>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7"/>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270"/>
    <w:rsid w:val="0009061A"/>
    <w:rsid w:val="00090BD9"/>
    <w:rsid w:val="00090C23"/>
    <w:rsid w:val="00090C3F"/>
    <w:rsid w:val="00090E3D"/>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300"/>
    <w:rsid w:val="00097B9F"/>
    <w:rsid w:val="00097CAF"/>
    <w:rsid w:val="00097D2B"/>
    <w:rsid w:val="000A008B"/>
    <w:rsid w:val="000A0761"/>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398"/>
    <w:rsid w:val="000A5544"/>
    <w:rsid w:val="000A5706"/>
    <w:rsid w:val="000A584E"/>
    <w:rsid w:val="000A5A32"/>
    <w:rsid w:val="000A5D73"/>
    <w:rsid w:val="000A6067"/>
    <w:rsid w:val="000A64FB"/>
    <w:rsid w:val="000A66CE"/>
    <w:rsid w:val="000A6991"/>
    <w:rsid w:val="000A6AFA"/>
    <w:rsid w:val="000A75A9"/>
    <w:rsid w:val="000A7750"/>
    <w:rsid w:val="000A7A4D"/>
    <w:rsid w:val="000A7D0E"/>
    <w:rsid w:val="000A7F5C"/>
    <w:rsid w:val="000B005B"/>
    <w:rsid w:val="000B00B1"/>
    <w:rsid w:val="000B0358"/>
    <w:rsid w:val="000B073F"/>
    <w:rsid w:val="000B0A6B"/>
    <w:rsid w:val="000B0D9C"/>
    <w:rsid w:val="000B0F1D"/>
    <w:rsid w:val="000B0F74"/>
    <w:rsid w:val="000B10AC"/>
    <w:rsid w:val="000B1317"/>
    <w:rsid w:val="000B1B63"/>
    <w:rsid w:val="000B1C08"/>
    <w:rsid w:val="000B1D7E"/>
    <w:rsid w:val="000B23E7"/>
    <w:rsid w:val="000B2A04"/>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20"/>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B5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3F2F"/>
    <w:rsid w:val="000D4086"/>
    <w:rsid w:val="000D44C7"/>
    <w:rsid w:val="000D469E"/>
    <w:rsid w:val="000D46D8"/>
    <w:rsid w:val="000D472C"/>
    <w:rsid w:val="000D4855"/>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5D8"/>
    <w:rsid w:val="000E491E"/>
    <w:rsid w:val="000E4A75"/>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33B"/>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2FE"/>
    <w:rsid w:val="00114F20"/>
    <w:rsid w:val="00115823"/>
    <w:rsid w:val="001158D2"/>
    <w:rsid w:val="00115950"/>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C3"/>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17"/>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9D1"/>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C4"/>
    <w:rsid w:val="001414E7"/>
    <w:rsid w:val="00141795"/>
    <w:rsid w:val="001428B0"/>
    <w:rsid w:val="00142C0E"/>
    <w:rsid w:val="00142CA5"/>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1F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4DB6"/>
    <w:rsid w:val="0015530F"/>
    <w:rsid w:val="0015536E"/>
    <w:rsid w:val="0015597E"/>
    <w:rsid w:val="00155D40"/>
    <w:rsid w:val="0015643E"/>
    <w:rsid w:val="00156589"/>
    <w:rsid w:val="00156B8A"/>
    <w:rsid w:val="00156B98"/>
    <w:rsid w:val="00156C85"/>
    <w:rsid w:val="00156E75"/>
    <w:rsid w:val="00157235"/>
    <w:rsid w:val="001577A3"/>
    <w:rsid w:val="0015782E"/>
    <w:rsid w:val="00157917"/>
    <w:rsid w:val="00157CDC"/>
    <w:rsid w:val="00157E9A"/>
    <w:rsid w:val="00160EE0"/>
    <w:rsid w:val="00161057"/>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67C60"/>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7DC"/>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963"/>
    <w:rsid w:val="00185B63"/>
    <w:rsid w:val="001861D3"/>
    <w:rsid w:val="001862AC"/>
    <w:rsid w:val="001864E7"/>
    <w:rsid w:val="0018684E"/>
    <w:rsid w:val="00186CA5"/>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63D0"/>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1C4C"/>
    <w:rsid w:val="001B216A"/>
    <w:rsid w:val="001B3696"/>
    <w:rsid w:val="001B394C"/>
    <w:rsid w:val="001B40F0"/>
    <w:rsid w:val="001B4DDF"/>
    <w:rsid w:val="001B522C"/>
    <w:rsid w:val="001B522E"/>
    <w:rsid w:val="001B5F23"/>
    <w:rsid w:val="001B63E4"/>
    <w:rsid w:val="001B6675"/>
    <w:rsid w:val="001B6D6C"/>
    <w:rsid w:val="001B7431"/>
    <w:rsid w:val="001B768B"/>
    <w:rsid w:val="001B7838"/>
    <w:rsid w:val="001B7B67"/>
    <w:rsid w:val="001B7CF9"/>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236"/>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2AE6"/>
    <w:rsid w:val="001D327F"/>
    <w:rsid w:val="001D3855"/>
    <w:rsid w:val="001D3B3A"/>
    <w:rsid w:val="001D431C"/>
    <w:rsid w:val="001D4437"/>
    <w:rsid w:val="001D456D"/>
    <w:rsid w:val="001D4CA3"/>
    <w:rsid w:val="001D4F97"/>
    <w:rsid w:val="001D50DA"/>
    <w:rsid w:val="001D542E"/>
    <w:rsid w:val="001D5614"/>
    <w:rsid w:val="001D57D9"/>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02"/>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B"/>
    <w:rsid w:val="00201459"/>
    <w:rsid w:val="00201D42"/>
    <w:rsid w:val="002021DA"/>
    <w:rsid w:val="00202A24"/>
    <w:rsid w:val="00202B68"/>
    <w:rsid w:val="00202F0E"/>
    <w:rsid w:val="00202F5B"/>
    <w:rsid w:val="002031CC"/>
    <w:rsid w:val="00203312"/>
    <w:rsid w:val="00203838"/>
    <w:rsid w:val="0020409A"/>
    <w:rsid w:val="0020414D"/>
    <w:rsid w:val="002044E4"/>
    <w:rsid w:val="002045C4"/>
    <w:rsid w:val="002046F9"/>
    <w:rsid w:val="002058E1"/>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146"/>
    <w:rsid w:val="00212459"/>
    <w:rsid w:val="002129F8"/>
    <w:rsid w:val="00212F5B"/>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ABB"/>
    <w:rsid w:val="00216CA2"/>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42"/>
    <w:rsid w:val="002224FE"/>
    <w:rsid w:val="002225F5"/>
    <w:rsid w:val="0022267E"/>
    <w:rsid w:val="00222711"/>
    <w:rsid w:val="00222862"/>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28"/>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5D82"/>
    <w:rsid w:val="002364BE"/>
    <w:rsid w:val="00236892"/>
    <w:rsid w:val="0023698F"/>
    <w:rsid w:val="00236D87"/>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47FD4"/>
    <w:rsid w:val="00250107"/>
    <w:rsid w:val="00250CB0"/>
    <w:rsid w:val="0025120C"/>
    <w:rsid w:val="0025125D"/>
    <w:rsid w:val="0025170F"/>
    <w:rsid w:val="00251B65"/>
    <w:rsid w:val="00251C1E"/>
    <w:rsid w:val="00251E3D"/>
    <w:rsid w:val="0025230C"/>
    <w:rsid w:val="002523F9"/>
    <w:rsid w:val="002529B5"/>
    <w:rsid w:val="00252FA2"/>
    <w:rsid w:val="00253321"/>
    <w:rsid w:val="002544C4"/>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573"/>
    <w:rsid w:val="002717C7"/>
    <w:rsid w:val="0027191B"/>
    <w:rsid w:val="00272990"/>
    <w:rsid w:val="002729CA"/>
    <w:rsid w:val="0027327B"/>
    <w:rsid w:val="0027352D"/>
    <w:rsid w:val="00273650"/>
    <w:rsid w:val="00273724"/>
    <w:rsid w:val="00273A17"/>
    <w:rsid w:val="00273A61"/>
    <w:rsid w:val="00273F5B"/>
    <w:rsid w:val="00273F5C"/>
    <w:rsid w:val="0027405F"/>
    <w:rsid w:val="002741AB"/>
    <w:rsid w:val="00274AC8"/>
    <w:rsid w:val="00274BE9"/>
    <w:rsid w:val="00275A58"/>
    <w:rsid w:val="00275AF8"/>
    <w:rsid w:val="00275B2C"/>
    <w:rsid w:val="00275B53"/>
    <w:rsid w:val="00275D65"/>
    <w:rsid w:val="00275E95"/>
    <w:rsid w:val="0027642B"/>
    <w:rsid w:val="00276924"/>
    <w:rsid w:val="00276C70"/>
    <w:rsid w:val="00276E7E"/>
    <w:rsid w:val="00277153"/>
    <w:rsid w:val="002771CD"/>
    <w:rsid w:val="002800C5"/>
    <w:rsid w:val="0028020C"/>
    <w:rsid w:val="00280529"/>
    <w:rsid w:val="002805CB"/>
    <w:rsid w:val="002805D5"/>
    <w:rsid w:val="00280B38"/>
    <w:rsid w:val="00280B64"/>
    <w:rsid w:val="002813F4"/>
    <w:rsid w:val="00281558"/>
    <w:rsid w:val="0028166E"/>
    <w:rsid w:val="00281DAB"/>
    <w:rsid w:val="00281ED6"/>
    <w:rsid w:val="002820D8"/>
    <w:rsid w:val="00282549"/>
    <w:rsid w:val="00282803"/>
    <w:rsid w:val="00283043"/>
    <w:rsid w:val="00283157"/>
    <w:rsid w:val="0028330C"/>
    <w:rsid w:val="00283372"/>
    <w:rsid w:val="002836E3"/>
    <w:rsid w:val="002838E8"/>
    <w:rsid w:val="00283C9D"/>
    <w:rsid w:val="00283F6D"/>
    <w:rsid w:val="00284888"/>
    <w:rsid w:val="002854E6"/>
    <w:rsid w:val="00285A7D"/>
    <w:rsid w:val="00285AF1"/>
    <w:rsid w:val="00285B64"/>
    <w:rsid w:val="00285E39"/>
    <w:rsid w:val="00285F80"/>
    <w:rsid w:val="002866E7"/>
    <w:rsid w:val="002866F9"/>
    <w:rsid w:val="00287289"/>
    <w:rsid w:val="00287E0A"/>
    <w:rsid w:val="00287EB5"/>
    <w:rsid w:val="002900FD"/>
    <w:rsid w:val="00290538"/>
    <w:rsid w:val="002907CA"/>
    <w:rsid w:val="00290D5A"/>
    <w:rsid w:val="00290F7C"/>
    <w:rsid w:val="00291386"/>
    <w:rsid w:val="0029169E"/>
    <w:rsid w:val="0029182F"/>
    <w:rsid w:val="0029198E"/>
    <w:rsid w:val="00291C29"/>
    <w:rsid w:val="00291EDA"/>
    <w:rsid w:val="00292791"/>
    <w:rsid w:val="00292856"/>
    <w:rsid w:val="00292D56"/>
    <w:rsid w:val="00292ECC"/>
    <w:rsid w:val="00293EA9"/>
    <w:rsid w:val="00294065"/>
    <w:rsid w:val="0029433A"/>
    <w:rsid w:val="0029444C"/>
    <w:rsid w:val="0029446D"/>
    <w:rsid w:val="002944C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388B"/>
    <w:rsid w:val="002A4267"/>
    <w:rsid w:val="002A442E"/>
    <w:rsid w:val="002A45D3"/>
    <w:rsid w:val="002A468B"/>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598"/>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184"/>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5C8"/>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1888"/>
    <w:rsid w:val="002C233C"/>
    <w:rsid w:val="002C288E"/>
    <w:rsid w:val="002C2AF2"/>
    <w:rsid w:val="002C2E56"/>
    <w:rsid w:val="002C3317"/>
    <w:rsid w:val="002C341E"/>
    <w:rsid w:val="002C38D0"/>
    <w:rsid w:val="002C3B63"/>
    <w:rsid w:val="002C4252"/>
    <w:rsid w:val="002C454B"/>
    <w:rsid w:val="002C4E04"/>
    <w:rsid w:val="002C54F3"/>
    <w:rsid w:val="002C5947"/>
    <w:rsid w:val="002C59EE"/>
    <w:rsid w:val="002C5A58"/>
    <w:rsid w:val="002C5FB5"/>
    <w:rsid w:val="002C643D"/>
    <w:rsid w:val="002C65B7"/>
    <w:rsid w:val="002C6769"/>
    <w:rsid w:val="002C676D"/>
    <w:rsid w:val="002C67F8"/>
    <w:rsid w:val="002C6FF5"/>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D8"/>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2DA"/>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3D00"/>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5E5D"/>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74C"/>
    <w:rsid w:val="00315B1D"/>
    <w:rsid w:val="003162DF"/>
    <w:rsid w:val="0031656D"/>
    <w:rsid w:val="00316772"/>
    <w:rsid w:val="003167C4"/>
    <w:rsid w:val="00316977"/>
    <w:rsid w:val="003169EE"/>
    <w:rsid w:val="00316CFA"/>
    <w:rsid w:val="00316EB7"/>
    <w:rsid w:val="00317081"/>
    <w:rsid w:val="003174B6"/>
    <w:rsid w:val="003174DB"/>
    <w:rsid w:val="0031777C"/>
    <w:rsid w:val="00317BD0"/>
    <w:rsid w:val="003201B0"/>
    <w:rsid w:val="003206D7"/>
    <w:rsid w:val="003209F1"/>
    <w:rsid w:val="00320A08"/>
    <w:rsid w:val="00320C5A"/>
    <w:rsid w:val="00320CED"/>
    <w:rsid w:val="00321205"/>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4E61"/>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095"/>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7F2"/>
    <w:rsid w:val="00350BD6"/>
    <w:rsid w:val="00350EBB"/>
    <w:rsid w:val="00350F73"/>
    <w:rsid w:val="00350FCC"/>
    <w:rsid w:val="003513AC"/>
    <w:rsid w:val="00351D2E"/>
    <w:rsid w:val="0035204B"/>
    <w:rsid w:val="00352260"/>
    <w:rsid w:val="0035258B"/>
    <w:rsid w:val="00352630"/>
    <w:rsid w:val="003526F0"/>
    <w:rsid w:val="00352B55"/>
    <w:rsid w:val="00353598"/>
    <w:rsid w:val="00353B42"/>
    <w:rsid w:val="00353CD8"/>
    <w:rsid w:val="00353E55"/>
    <w:rsid w:val="00353F79"/>
    <w:rsid w:val="003540F6"/>
    <w:rsid w:val="003543FB"/>
    <w:rsid w:val="00354442"/>
    <w:rsid w:val="003544BF"/>
    <w:rsid w:val="00354F40"/>
    <w:rsid w:val="003551BA"/>
    <w:rsid w:val="00355298"/>
    <w:rsid w:val="003552AE"/>
    <w:rsid w:val="00355385"/>
    <w:rsid w:val="0035542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452"/>
    <w:rsid w:val="00366695"/>
    <w:rsid w:val="00366834"/>
    <w:rsid w:val="00366AD2"/>
    <w:rsid w:val="00366D1B"/>
    <w:rsid w:val="00366DD6"/>
    <w:rsid w:val="00366E56"/>
    <w:rsid w:val="0036750E"/>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77D"/>
    <w:rsid w:val="00377898"/>
    <w:rsid w:val="003778FB"/>
    <w:rsid w:val="00377DDA"/>
    <w:rsid w:val="00377E84"/>
    <w:rsid w:val="00377E8F"/>
    <w:rsid w:val="003800C3"/>
    <w:rsid w:val="00380128"/>
    <w:rsid w:val="00380216"/>
    <w:rsid w:val="0038059B"/>
    <w:rsid w:val="003805C8"/>
    <w:rsid w:val="00380A83"/>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87EBF"/>
    <w:rsid w:val="003906CC"/>
    <w:rsid w:val="00390DDF"/>
    <w:rsid w:val="00390F11"/>
    <w:rsid w:val="003911AD"/>
    <w:rsid w:val="003911E3"/>
    <w:rsid w:val="00391311"/>
    <w:rsid w:val="003918BA"/>
    <w:rsid w:val="003918CD"/>
    <w:rsid w:val="003919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0D2"/>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349"/>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A5E"/>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04D"/>
    <w:rsid w:val="003C2219"/>
    <w:rsid w:val="003C23A8"/>
    <w:rsid w:val="003C2E8F"/>
    <w:rsid w:val="003C33E6"/>
    <w:rsid w:val="003C3CDD"/>
    <w:rsid w:val="003C3F0D"/>
    <w:rsid w:val="003C40A6"/>
    <w:rsid w:val="003C40EE"/>
    <w:rsid w:val="003C41F8"/>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68E"/>
    <w:rsid w:val="003C7779"/>
    <w:rsid w:val="003C78A1"/>
    <w:rsid w:val="003C7D5A"/>
    <w:rsid w:val="003D0177"/>
    <w:rsid w:val="003D05CB"/>
    <w:rsid w:val="003D063F"/>
    <w:rsid w:val="003D07B6"/>
    <w:rsid w:val="003D09DF"/>
    <w:rsid w:val="003D0B25"/>
    <w:rsid w:val="003D18A4"/>
    <w:rsid w:val="003D1F62"/>
    <w:rsid w:val="003D2537"/>
    <w:rsid w:val="003D2BB2"/>
    <w:rsid w:val="003D2DBC"/>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492"/>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A0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97"/>
    <w:rsid w:val="003E60B7"/>
    <w:rsid w:val="003E6227"/>
    <w:rsid w:val="003E65AC"/>
    <w:rsid w:val="003E6917"/>
    <w:rsid w:val="003E726C"/>
    <w:rsid w:val="003E7484"/>
    <w:rsid w:val="003E7515"/>
    <w:rsid w:val="003E7523"/>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497"/>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05"/>
    <w:rsid w:val="00412C6E"/>
    <w:rsid w:val="00413380"/>
    <w:rsid w:val="0041379D"/>
    <w:rsid w:val="00414893"/>
    <w:rsid w:val="004148B1"/>
    <w:rsid w:val="004148CB"/>
    <w:rsid w:val="00414DE4"/>
    <w:rsid w:val="00415194"/>
    <w:rsid w:val="00415FDC"/>
    <w:rsid w:val="0041618F"/>
    <w:rsid w:val="0041630E"/>
    <w:rsid w:val="0041668E"/>
    <w:rsid w:val="004167A1"/>
    <w:rsid w:val="00416DBF"/>
    <w:rsid w:val="00416E6D"/>
    <w:rsid w:val="00417578"/>
    <w:rsid w:val="004179BD"/>
    <w:rsid w:val="00417C9B"/>
    <w:rsid w:val="0042041C"/>
    <w:rsid w:val="004204DE"/>
    <w:rsid w:val="004205E8"/>
    <w:rsid w:val="00420695"/>
    <w:rsid w:val="004208DE"/>
    <w:rsid w:val="00420945"/>
    <w:rsid w:val="00420AE4"/>
    <w:rsid w:val="00420E10"/>
    <w:rsid w:val="004217B4"/>
    <w:rsid w:val="004222B0"/>
    <w:rsid w:val="00422642"/>
    <w:rsid w:val="00422C59"/>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27F63"/>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6A0"/>
    <w:rsid w:val="00435AF2"/>
    <w:rsid w:val="00435D3A"/>
    <w:rsid w:val="00436122"/>
    <w:rsid w:val="00436978"/>
    <w:rsid w:val="00436B16"/>
    <w:rsid w:val="00436C61"/>
    <w:rsid w:val="00436D42"/>
    <w:rsid w:val="00436D57"/>
    <w:rsid w:val="004370DD"/>
    <w:rsid w:val="00437287"/>
    <w:rsid w:val="00437578"/>
    <w:rsid w:val="00437C6D"/>
    <w:rsid w:val="00437EB2"/>
    <w:rsid w:val="00440963"/>
    <w:rsid w:val="0044098B"/>
    <w:rsid w:val="00440B6B"/>
    <w:rsid w:val="00440D7F"/>
    <w:rsid w:val="00440DE7"/>
    <w:rsid w:val="00440EFD"/>
    <w:rsid w:val="00440F02"/>
    <w:rsid w:val="0044170A"/>
    <w:rsid w:val="004419A8"/>
    <w:rsid w:val="0044243F"/>
    <w:rsid w:val="0044257D"/>
    <w:rsid w:val="00442A49"/>
    <w:rsid w:val="00442B0A"/>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0C1"/>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2FE8"/>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8D4"/>
    <w:rsid w:val="00456B24"/>
    <w:rsid w:val="00456EB9"/>
    <w:rsid w:val="00456FE7"/>
    <w:rsid w:val="004579D7"/>
    <w:rsid w:val="00457D9F"/>
    <w:rsid w:val="00457E55"/>
    <w:rsid w:val="00457F25"/>
    <w:rsid w:val="004604BD"/>
    <w:rsid w:val="00460790"/>
    <w:rsid w:val="00460A5C"/>
    <w:rsid w:val="00460B6E"/>
    <w:rsid w:val="00460C06"/>
    <w:rsid w:val="00460FC6"/>
    <w:rsid w:val="00461214"/>
    <w:rsid w:val="0046122A"/>
    <w:rsid w:val="0046172C"/>
    <w:rsid w:val="00461F46"/>
    <w:rsid w:val="00462196"/>
    <w:rsid w:val="00462267"/>
    <w:rsid w:val="004623CA"/>
    <w:rsid w:val="00462B1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CD0"/>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11D"/>
    <w:rsid w:val="0047112A"/>
    <w:rsid w:val="00471822"/>
    <w:rsid w:val="0047217D"/>
    <w:rsid w:val="004726CB"/>
    <w:rsid w:val="00472B5E"/>
    <w:rsid w:val="00472B91"/>
    <w:rsid w:val="00472E22"/>
    <w:rsid w:val="00473205"/>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97576"/>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0CA"/>
    <w:rsid w:val="004B1377"/>
    <w:rsid w:val="004B1628"/>
    <w:rsid w:val="004B1663"/>
    <w:rsid w:val="004B1766"/>
    <w:rsid w:val="004B1960"/>
    <w:rsid w:val="004B1AA3"/>
    <w:rsid w:val="004B201F"/>
    <w:rsid w:val="004B243E"/>
    <w:rsid w:val="004B272A"/>
    <w:rsid w:val="004B2761"/>
    <w:rsid w:val="004B27C7"/>
    <w:rsid w:val="004B2A50"/>
    <w:rsid w:val="004B2CD0"/>
    <w:rsid w:val="004B2D0A"/>
    <w:rsid w:val="004B302C"/>
    <w:rsid w:val="004B30C3"/>
    <w:rsid w:val="004B34C0"/>
    <w:rsid w:val="004B3984"/>
    <w:rsid w:val="004B39A4"/>
    <w:rsid w:val="004B3A66"/>
    <w:rsid w:val="004B3A9B"/>
    <w:rsid w:val="004B3C62"/>
    <w:rsid w:val="004B4170"/>
    <w:rsid w:val="004B421A"/>
    <w:rsid w:val="004B4293"/>
    <w:rsid w:val="004B42CC"/>
    <w:rsid w:val="004B46BE"/>
    <w:rsid w:val="004B46EF"/>
    <w:rsid w:val="004B537B"/>
    <w:rsid w:val="004B5785"/>
    <w:rsid w:val="004B5B9B"/>
    <w:rsid w:val="004B66F9"/>
    <w:rsid w:val="004B67E6"/>
    <w:rsid w:val="004B6E32"/>
    <w:rsid w:val="004B7081"/>
    <w:rsid w:val="004B71D0"/>
    <w:rsid w:val="004B72A8"/>
    <w:rsid w:val="004B769F"/>
    <w:rsid w:val="004C01EA"/>
    <w:rsid w:val="004C020A"/>
    <w:rsid w:val="004C022C"/>
    <w:rsid w:val="004C0390"/>
    <w:rsid w:val="004C03D0"/>
    <w:rsid w:val="004C0BE2"/>
    <w:rsid w:val="004C0DDD"/>
    <w:rsid w:val="004C0ED8"/>
    <w:rsid w:val="004C11FC"/>
    <w:rsid w:val="004C1213"/>
    <w:rsid w:val="004C14D4"/>
    <w:rsid w:val="004C1565"/>
    <w:rsid w:val="004C20A6"/>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4A"/>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1B0"/>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C11"/>
    <w:rsid w:val="004E43FB"/>
    <w:rsid w:val="004E49D4"/>
    <w:rsid w:val="004E4B89"/>
    <w:rsid w:val="004E4F1A"/>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377"/>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1C4"/>
    <w:rsid w:val="00503890"/>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463"/>
    <w:rsid w:val="00507516"/>
    <w:rsid w:val="00507B5D"/>
    <w:rsid w:val="00507F8D"/>
    <w:rsid w:val="005103E5"/>
    <w:rsid w:val="0051060C"/>
    <w:rsid w:val="005106A9"/>
    <w:rsid w:val="00510721"/>
    <w:rsid w:val="00510780"/>
    <w:rsid w:val="005107DD"/>
    <w:rsid w:val="0051117E"/>
    <w:rsid w:val="005116A0"/>
    <w:rsid w:val="005116DD"/>
    <w:rsid w:val="00511EDB"/>
    <w:rsid w:val="00511F19"/>
    <w:rsid w:val="005122FB"/>
    <w:rsid w:val="00512951"/>
    <w:rsid w:val="00513175"/>
    <w:rsid w:val="00513397"/>
    <w:rsid w:val="005133AC"/>
    <w:rsid w:val="005134F9"/>
    <w:rsid w:val="0051354A"/>
    <w:rsid w:val="005136A1"/>
    <w:rsid w:val="00513F01"/>
    <w:rsid w:val="005140AE"/>
    <w:rsid w:val="0051421C"/>
    <w:rsid w:val="00514681"/>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12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6D2C"/>
    <w:rsid w:val="00527037"/>
    <w:rsid w:val="00527056"/>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4A1C"/>
    <w:rsid w:val="005355B9"/>
    <w:rsid w:val="0053563A"/>
    <w:rsid w:val="005356CC"/>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B"/>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AE4"/>
    <w:rsid w:val="00566BA2"/>
    <w:rsid w:val="005674E4"/>
    <w:rsid w:val="005677C9"/>
    <w:rsid w:val="00567DA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3B5F"/>
    <w:rsid w:val="005740E7"/>
    <w:rsid w:val="00574307"/>
    <w:rsid w:val="00574362"/>
    <w:rsid w:val="00574550"/>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31F"/>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B87"/>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023"/>
    <w:rsid w:val="005A05FF"/>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662"/>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4904"/>
    <w:rsid w:val="005B4A76"/>
    <w:rsid w:val="005B4FA6"/>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0CD3"/>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7D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D7EB2"/>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3DA"/>
    <w:rsid w:val="005F55EA"/>
    <w:rsid w:val="005F601E"/>
    <w:rsid w:val="005F6565"/>
    <w:rsid w:val="005F6640"/>
    <w:rsid w:val="005F66FE"/>
    <w:rsid w:val="005F6929"/>
    <w:rsid w:val="005F6E41"/>
    <w:rsid w:val="005F6E69"/>
    <w:rsid w:val="005F7270"/>
    <w:rsid w:val="005F7534"/>
    <w:rsid w:val="005F757F"/>
    <w:rsid w:val="005F7917"/>
    <w:rsid w:val="005F7C6E"/>
    <w:rsid w:val="005F7D48"/>
    <w:rsid w:val="005F7EE0"/>
    <w:rsid w:val="006000F8"/>
    <w:rsid w:val="006001FC"/>
    <w:rsid w:val="00600323"/>
    <w:rsid w:val="00600383"/>
    <w:rsid w:val="006006E5"/>
    <w:rsid w:val="00600978"/>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3D0"/>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A07"/>
    <w:rsid w:val="00620F3D"/>
    <w:rsid w:val="0062100D"/>
    <w:rsid w:val="006210B3"/>
    <w:rsid w:val="006212F8"/>
    <w:rsid w:val="00621B6F"/>
    <w:rsid w:val="00621BAC"/>
    <w:rsid w:val="00621C00"/>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BD7"/>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022"/>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274"/>
    <w:rsid w:val="0064157F"/>
    <w:rsid w:val="00641AAC"/>
    <w:rsid w:val="00641B31"/>
    <w:rsid w:val="00641BA2"/>
    <w:rsid w:val="0064243D"/>
    <w:rsid w:val="006425E0"/>
    <w:rsid w:val="006429A2"/>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2A8"/>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B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25"/>
    <w:rsid w:val="00663BF0"/>
    <w:rsid w:val="006640B4"/>
    <w:rsid w:val="006644D9"/>
    <w:rsid w:val="00664AFE"/>
    <w:rsid w:val="00664BE2"/>
    <w:rsid w:val="00664F9F"/>
    <w:rsid w:val="00665396"/>
    <w:rsid w:val="0066560A"/>
    <w:rsid w:val="0066587B"/>
    <w:rsid w:val="00666451"/>
    <w:rsid w:val="006666E0"/>
    <w:rsid w:val="00667201"/>
    <w:rsid w:val="006673FC"/>
    <w:rsid w:val="0066758C"/>
    <w:rsid w:val="00667FD5"/>
    <w:rsid w:val="0067068A"/>
    <w:rsid w:val="00670770"/>
    <w:rsid w:val="00670D71"/>
    <w:rsid w:val="00670DA2"/>
    <w:rsid w:val="00670E15"/>
    <w:rsid w:val="00670E48"/>
    <w:rsid w:val="00671147"/>
    <w:rsid w:val="00671360"/>
    <w:rsid w:val="0067141B"/>
    <w:rsid w:val="00671C5C"/>
    <w:rsid w:val="0067223E"/>
    <w:rsid w:val="00672424"/>
    <w:rsid w:val="006724A5"/>
    <w:rsid w:val="0067272D"/>
    <w:rsid w:val="00672733"/>
    <w:rsid w:val="00672D7E"/>
    <w:rsid w:val="0067311E"/>
    <w:rsid w:val="0067348F"/>
    <w:rsid w:val="00673B2A"/>
    <w:rsid w:val="00674090"/>
    <w:rsid w:val="00674169"/>
    <w:rsid w:val="00674216"/>
    <w:rsid w:val="00674477"/>
    <w:rsid w:val="00674665"/>
    <w:rsid w:val="00674B6D"/>
    <w:rsid w:val="006758A4"/>
    <w:rsid w:val="00675AF6"/>
    <w:rsid w:val="00675BAA"/>
    <w:rsid w:val="00675F84"/>
    <w:rsid w:val="0067600A"/>
    <w:rsid w:val="006766CB"/>
    <w:rsid w:val="0067701A"/>
    <w:rsid w:val="00677212"/>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6E4"/>
    <w:rsid w:val="006828D0"/>
    <w:rsid w:val="00682AA1"/>
    <w:rsid w:val="00682B3C"/>
    <w:rsid w:val="00682E20"/>
    <w:rsid w:val="0068323D"/>
    <w:rsid w:val="0068327C"/>
    <w:rsid w:val="0068337B"/>
    <w:rsid w:val="0068392F"/>
    <w:rsid w:val="0068399E"/>
    <w:rsid w:val="00683DC1"/>
    <w:rsid w:val="00683F68"/>
    <w:rsid w:val="006840F9"/>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945"/>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73B"/>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2DC"/>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6DAB"/>
    <w:rsid w:val="006B726A"/>
    <w:rsid w:val="006B72D0"/>
    <w:rsid w:val="006B77D1"/>
    <w:rsid w:val="006B7B7F"/>
    <w:rsid w:val="006B7BF5"/>
    <w:rsid w:val="006B7C6E"/>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93C"/>
    <w:rsid w:val="006C4E2C"/>
    <w:rsid w:val="006C4F28"/>
    <w:rsid w:val="006C51B9"/>
    <w:rsid w:val="006C5404"/>
    <w:rsid w:val="006C543A"/>
    <w:rsid w:val="006C591F"/>
    <w:rsid w:val="006C5F78"/>
    <w:rsid w:val="006C6614"/>
    <w:rsid w:val="006C6617"/>
    <w:rsid w:val="006C6997"/>
    <w:rsid w:val="006C6BCF"/>
    <w:rsid w:val="006C6D8C"/>
    <w:rsid w:val="006C6F87"/>
    <w:rsid w:val="006C72A4"/>
    <w:rsid w:val="006C72D7"/>
    <w:rsid w:val="006C7A2B"/>
    <w:rsid w:val="006C7BBC"/>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27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D7FA1"/>
    <w:rsid w:val="006E00FD"/>
    <w:rsid w:val="006E0552"/>
    <w:rsid w:val="006E091E"/>
    <w:rsid w:val="006E0D8B"/>
    <w:rsid w:val="006E0FEC"/>
    <w:rsid w:val="006E1156"/>
    <w:rsid w:val="006E12C1"/>
    <w:rsid w:val="006E16AC"/>
    <w:rsid w:val="006E225C"/>
    <w:rsid w:val="006E24AB"/>
    <w:rsid w:val="006E25A8"/>
    <w:rsid w:val="006E283A"/>
    <w:rsid w:val="006E291E"/>
    <w:rsid w:val="006E2EDD"/>
    <w:rsid w:val="006E3491"/>
    <w:rsid w:val="006E3578"/>
    <w:rsid w:val="006E37C9"/>
    <w:rsid w:val="006E40C5"/>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10E9"/>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4A"/>
    <w:rsid w:val="007170AD"/>
    <w:rsid w:val="00717D7F"/>
    <w:rsid w:val="00717DD3"/>
    <w:rsid w:val="00717DD5"/>
    <w:rsid w:val="00717E6D"/>
    <w:rsid w:val="00717F87"/>
    <w:rsid w:val="00720193"/>
    <w:rsid w:val="0072037A"/>
    <w:rsid w:val="00720A56"/>
    <w:rsid w:val="00720AB1"/>
    <w:rsid w:val="00720BF0"/>
    <w:rsid w:val="00720C19"/>
    <w:rsid w:val="00720DD7"/>
    <w:rsid w:val="00721723"/>
    <w:rsid w:val="00721844"/>
    <w:rsid w:val="00721E79"/>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50"/>
    <w:rsid w:val="007369B4"/>
    <w:rsid w:val="00736DED"/>
    <w:rsid w:val="007370C5"/>
    <w:rsid w:val="00737103"/>
    <w:rsid w:val="007374D4"/>
    <w:rsid w:val="00737550"/>
    <w:rsid w:val="00737B89"/>
    <w:rsid w:val="00740026"/>
    <w:rsid w:val="0074086E"/>
    <w:rsid w:val="00740D7E"/>
    <w:rsid w:val="00740E4F"/>
    <w:rsid w:val="0074135A"/>
    <w:rsid w:val="007413C5"/>
    <w:rsid w:val="00741489"/>
    <w:rsid w:val="007415CA"/>
    <w:rsid w:val="00741E38"/>
    <w:rsid w:val="0074208D"/>
    <w:rsid w:val="0074265D"/>
    <w:rsid w:val="00742757"/>
    <w:rsid w:val="00742FF6"/>
    <w:rsid w:val="00743343"/>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855"/>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E16"/>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55B"/>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47F"/>
    <w:rsid w:val="00781529"/>
    <w:rsid w:val="0078169C"/>
    <w:rsid w:val="007819FC"/>
    <w:rsid w:val="00781A51"/>
    <w:rsid w:val="00781DB0"/>
    <w:rsid w:val="00781E31"/>
    <w:rsid w:val="007821D3"/>
    <w:rsid w:val="0078229E"/>
    <w:rsid w:val="0078236B"/>
    <w:rsid w:val="00782888"/>
    <w:rsid w:val="00782977"/>
    <w:rsid w:val="00782BC0"/>
    <w:rsid w:val="00782CDB"/>
    <w:rsid w:val="00782D12"/>
    <w:rsid w:val="00782E90"/>
    <w:rsid w:val="007831CA"/>
    <w:rsid w:val="00783211"/>
    <w:rsid w:val="00783372"/>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A38"/>
    <w:rsid w:val="00786B80"/>
    <w:rsid w:val="007873CD"/>
    <w:rsid w:val="007874AB"/>
    <w:rsid w:val="00787B30"/>
    <w:rsid w:val="00787EAD"/>
    <w:rsid w:val="00790037"/>
    <w:rsid w:val="007905B0"/>
    <w:rsid w:val="0079085A"/>
    <w:rsid w:val="00790B29"/>
    <w:rsid w:val="00790C01"/>
    <w:rsid w:val="00791221"/>
    <w:rsid w:val="00791353"/>
    <w:rsid w:val="0079138E"/>
    <w:rsid w:val="0079145B"/>
    <w:rsid w:val="00791549"/>
    <w:rsid w:val="007926CD"/>
    <w:rsid w:val="007927ED"/>
    <w:rsid w:val="00792917"/>
    <w:rsid w:val="007931E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B69"/>
    <w:rsid w:val="00795C73"/>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6B4"/>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65E0"/>
    <w:rsid w:val="007A7008"/>
    <w:rsid w:val="007A7C36"/>
    <w:rsid w:val="007A7D9A"/>
    <w:rsid w:val="007B038A"/>
    <w:rsid w:val="007B060D"/>
    <w:rsid w:val="007B07B2"/>
    <w:rsid w:val="007B07B3"/>
    <w:rsid w:val="007B086F"/>
    <w:rsid w:val="007B0889"/>
    <w:rsid w:val="007B0DBC"/>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79D"/>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A6C"/>
    <w:rsid w:val="007D2C68"/>
    <w:rsid w:val="007D2EA3"/>
    <w:rsid w:val="007D2EEE"/>
    <w:rsid w:val="007D2F94"/>
    <w:rsid w:val="007D3282"/>
    <w:rsid w:val="007D39CC"/>
    <w:rsid w:val="007D4186"/>
    <w:rsid w:val="007D4C18"/>
    <w:rsid w:val="007D4EC7"/>
    <w:rsid w:val="007D4F24"/>
    <w:rsid w:val="007D4F8B"/>
    <w:rsid w:val="007D4FE5"/>
    <w:rsid w:val="007D506B"/>
    <w:rsid w:val="007D517C"/>
    <w:rsid w:val="007D5540"/>
    <w:rsid w:val="007D5A61"/>
    <w:rsid w:val="007D5A7D"/>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AE7"/>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7AA"/>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2DA"/>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D26"/>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162"/>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ECB"/>
    <w:rsid w:val="00836F59"/>
    <w:rsid w:val="00837648"/>
    <w:rsid w:val="00837BB1"/>
    <w:rsid w:val="00840030"/>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767"/>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15"/>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7B"/>
    <w:rsid w:val="00867A8F"/>
    <w:rsid w:val="00867EAB"/>
    <w:rsid w:val="008705C6"/>
    <w:rsid w:val="0087064B"/>
    <w:rsid w:val="0087078C"/>
    <w:rsid w:val="008708A0"/>
    <w:rsid w:val="00871018"/>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7EB"/>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26"/>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4B"/>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AB7"/>
    <w:rsid w:val="00896C60"/>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2"/>
    <w:rsid w:val="008A347A"/>
    <w:rsid w:val="008A38A1"/>
    <w:rsid w:val="008A3E4F"/>
    <w:rsid w:val="008A4230"/>
    <w:rsid w:val="008A48D6"/>
    <w:rsid w:val="008A4B15"/>
    <w:rsid w:val="008A51D4"/>
    <w:rsid w:val="008A5666"/>
    <w:rsid w:val="008A5DA4"/>
    <w:rsid w:val="008A5EC2"/>
    <w:rsid w:val="008A62FC"/>
    <w:rsid w:val="008A63D0"/>
    <w:rsid w:val="008A6509"/>
    <w:rsid w:val="008A67EA"/>
    <w:rsid w:val="008A6A15"/>
    <w:rsid w:val="008A6DE9"/>
    <w:rsid w:val="008A6EFB"/>
    <w:rsid w:val="008A7A7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3F15"/>
    <w:rsid w:val="008B436F"/>
    <w:rsid w:val="008B440A"/>
    <w:rsid w:val="008B4686"/>
    <w:rsid w:val="008B49FF"/>
    <w:rsid w:val="008B4A7C"/>
    <w:rsid w:val="008B4E8E"/>
    <w:rsid w:val="008B4F12"/>
    <w:rsid w:val="008B5093"/>
    <w:rsid w:val="008B560A"/>
    <w:rsid w:val="008B56AD"/>
    <w:rsid w:val="008B5770"/>
    <w:rsid w:val="008B5D84"/>
    <w:rsid w:val="008B64B8"/>
    <w:rsid w:val="008B6A2E"/>
    <w:rsid w:val="008B6AB3"/>
    <w:rsid w:val="008B6F35"/>
    <w:rsid w:val="008B7762"/>
    <w:rsid w:val="008B7CF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8EE"/>
    <w:rsid w:val="008C49E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A04"/>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829"/>
    <w:rsid w:val="008E4DC8"/>
    <w:rsid w:val="008E594F"/>
    <w:rsid w:val="008E5C14"/>
    <w:rsid w:val="008E620F"/>
    <w:rsid w:val="008E62DF"/>
    <w:rsid w:val="008E62FD"/>
    <w:rsid w:val="008E6431"/>
    <w:rsid w:val="008E6476"/>
    <w:rsid w:val="008E67CA"/>
    <w:rsid w:val="008E67FA"/>
    <w:rsid w:val="008E68E4"/>
    <w:rsid w:val="008E6B78"/>
    <w:rsid w:val="008E7014"/>
    <w:rsid w:val="008E708D"/>
    <w:rsid w:val="008E726D"/>
    <w:rsid w:val="008E7BA3"/>
    <w:rsid w:val="008E7E6C"/>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846"/>
    <w:rsid w:val="008F5B43"/>
    <w:rsid w:val="008F5E1F"/>
    <w:rsid w:val="008F6070"/>
    <w:rsid w:val="008F6225"/>
    <w:rsid w:val="008F6405"/>
    <w:rsid w:val="008F6816"/>
    <w:rsid w:val="008F6BD2"/>
    <w:rsid w:val="008F6F22"/>
    <w:rsid w:val="008F7253"/>
    <w:rsid w:val="008F7467"/>
    <w:rsid w:val="008F7BD0"/>
    <w:rsid w:val="008F7D6B"/>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A57"/>
    <w:rsid w:val="00912436"/>
    <w:rsid w:val="00912534"/>
    <w:rsid w:val="00912B20"/>
    <w:rsid w:val="00912B77"/>
    <w:rsid w:val="00912BCC"/>
    <w:rsid w:val="0091383E"/>
    <w:rsid w:val="00913C24"/>
    <w:rsid w:val="00913C8B"/>
    <w:rsid w:val="0091419A"/>
    <w:rsid w:val="00914380"/>
    <w:rsid w:val="009144D7"/>
    <w:rsid w:val="00914741"/>
    <w:rsid w:val="00914F68"/>
    <w:rsid w:val="00915067"/>
    <w:rsid w:val="0091599D"/>
    <w:rsid w:val="00915E0A"/>
    <w:rsid w:val="00915FD7"/>
    <w:rsid w:val="00916217"/>
    <w:rsid w:val="0091621F"/>
    <w:rsid w:val="00916303"/>
    <w:rsid w:val="009164ED"/>
    <w:rsid w:val="009165EE"/>
    <w:rsid w:val="0091661A"/>
    <w:rsid w:val="00916675"/>
    <w:rsid w:val="00916727"/>
    <w:rsid w:val="00916AFF"/>
    <w:rsid w:val="00916BA2"/>
    <w:rsid w:val="009172E0"/>
    <w:rsid w:val="009177A5"/>
    <w:rsid w:val="00917A74"/>
    <w:rsid w:val="00917AA7"/>
    <w:rsid w:val="00917C74"/>
    <w:rsid w:val="00917DD9"/>
    <w:rsid w:val="00920116"/>
    <w:rsid w:val="009204F2"/>
    <w:rsid w:val="00920AA1"/>
    <w:rsid w:val="00920B43"/>
    <w:rsid w:val="00920C72"/>
    <w:rsid w:val="00920CDE"/>
    <w:rsid w:val="00920E9F"/>
    <w:rsid w:val="00921296"/>
    <w:rsid w:val="0092131A"/>
    <w:rsid w:val="00921846"/>
    <w:rsid w:val="00922567"/>
    <w:rsid w:val="00922C53"/>
    <w:rsid w:val="00923256"/>
    <w:rsid w:val="009235C3"/>
    <w:rsid w:val="00923AB3"/>
    <w:rsid w:val="00923CA0"/>
    <w:rsid w:val="00923CE5"/>
    <w:rsid w:val="00923EBE"/>
    <w:rsid w:val="00923FBD"/>
    <w:rsid w:val="00924190"/>
    <w:rsid w:val="00924250"/>
    <w:rsid w:val="009244BC"/>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BDA"/>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4CEF"/>
    <w:rsid w:val="0093578A"/>
    <w:rsid w:val="009358FB"/>
    <w:rsid w:val="00935BEA"/>
    <w:rsid w:val="00935E65"/>
    <w:rsid w:val="00935EEE"/>
    <w:rsid w:val="00936579"/>
    <w:rsid w:val="00936DB0"/>
    <w:rsid w:val="00936DC6"/>
    <w:rsid w:val="00936E0C"/>
    <w:rsid w:val="009370A9"/>
    <w:rsid w:val="009372E2"/>
    <w:rsid w:val="00937940"/>
    <w:rsid w:val="00937A35"/>
    <w:rsid w:val="00937A3E"/>
    <w:rsid w:val="00937D45"/>
    <w:rsid w:val="0094033E"/>
    <w:rsid w:val="009403E2"/>
    <w:rsid w:val="00940BE8"/>
    <w:rsid w:val="00940E25"/>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14E"/>
    <w:rsid w:val="009441B4"/>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6E0B"/>
    <w:rsid w:val="00947879"/>
    <w:rsid w:val="009478D8"/>
    <w:rsid w:val="00947A72"/>
    <w:rsid w:val="00947C1D"/>
    <w:rsid w:val="00947D51"/>
    <w:rsid w:val="009500CB"/>
    <w:rsid w:val="00950515"/>
    <w:rsid w:val="0095082D"/>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20F"/>
    <w:rsid w:val="009564F4"/>
    <w:rsid w:val="009567D6"/>
    <w:rsid w:val="00956BA6"/>
    <w:rsid w:val="00956EBB"/>
    <w:rsid w:val="00957486"/>
    <w:rsid w:val="00957490"/>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811"/>
    <w:rsid w:val="009669EC"/>
    <w:rsid w:val="00966A69"/>
    <w:rsid w:val="009673A2"/>
    <w:rsid w:val="0096747B"/>
    <w:rsid w:val="0096772C"/>
    <w:rsid w:val="00967DAD"/>
    <w:rsid w:val="00967EE6"/>
    <w:rsid w:val="00967F37"/>
    <w:rsid w:val="00970462"/>
    <w:rsid w:val="00970574"/>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07"/>
    <w:rsid w:val="009742D2"/>
    <w:rsid w:val="009743A4"/>
    <w:rsid w:val="009744F3"/>
    <w:rsid w:val="009747A2"/>
    <w:rsid w:val="00974A72"/>
    <w:rsid w:val="00974DEF"/>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A0D"/>
    <w:rsid w:val="00977EEE"/>
    <w:rsid w:val="00977FAC"/>
    <w:rsid w:val="0098001F"/>
    <w:rsid w:val="0098007D"/>
    <w:rsid w:val="00980638"/>
    <w:rsid w:val="00980671"/>
    <w:rsid w:val="009806F9"/>
    <w:rsid w:val="00980D41"/>
    <w:rsid w:val="00981522"/>
    <w:rsid w:val="0098185F"/>
    <w:rsid w:val="009818EF"/>
    <w:rsid w:val="00981BD1"/>
    <w:rsid w:val="00981C4D"/>
    <w:rsid w:val="00982004"/>
    <w:rsid w:val="0098215E"/>
    <w:rsid w:val="009822CF"/>
    <w:rsid w:val="0098268A"/>
    <w:rsid w:val="009829CB"/>
    <w:rsid w:val="00982D17"/>
    <w:rsid w:val="00983291"/>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B7D"/>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C49"/>
    <w:rsid w:val="009A1EB1"/>
    <w:rsid w:val="009A1ECE"/>
    <w:rsid w:val="009A27B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AF4"/>
    <w:rsid w:val="009B0C86"/>
    <w:rsid w:val="009B0DCF"/>
    <w:rsid w:val="009B11FE"/>
    <w:rsid w:val="009B1DA1"/>
    <w:rsid w:val="009B2466"/>
    <w:rsid w:val="009B2B2B"/>
    <w:rsid w:val="009B3028"/>
    <w:rsid w:val="009B3362"/>
    <w:rsid w:val="009B39ED"/>
    <w:rsid w:val="009B4473"/>
    <w:rsid w:val="009B452B"/>
    <w:rsid w:val="009B4600"/>
    <w:rsid w:val="009B46B5"/>
    <w:rsid w:val="009B4B4E"/>
    <w:rsid w:val="009B4B67"/>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427"/>
    <w:rsid w:val="009C05E9"/>
    <w:rsid w:val="009C077C"/>
    <w:rsid w:val="009C0826"/>
    <w:rsid w:val="009C08C4"/>
    <w:rsid w:val="009C0B40"/>
    <w:rsid w:val="009C0FE2"/>
    <w:rsid w:val="009C1154"/>
    <w:rsid w:val="009C1491"/>
    <w:rsid w:val="009C1520"/>
    <w:rsid w:val="009C17DA"/>
    <w:rsid w:val="009C1BF4"/>
    <w:rsid w:val="009C1C69"/>
    <w:rsid w:val="009C1D1E"/>
    <w:rsid w:val="009C23C4"/>
    <w:rsid w:val="009C2FEE"/>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C75"/>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3F8"/>
    <w:rsid w:val="009D54CF"/>
    <w:rsid w:val="009D5714"/>
    <w:rsid w:val="009D592B"/>
    <w:rsid w:val="009D5A4D"/>
    <w:rsid w:val="009D5AC4"/>
    <w:rsid w:val="009D5AFF"/>
    <w:rsid w:val="009D5DE0"/>
    <w:rsid w:val="009D628A"/>
    <w:rsid w:val="009D684C"/>
    <w:rsid w:val="009D68F1"/>
    <w:rsid w:val="009D71B1"/>
    <w:rsid w:val="009D7687"/>
    <w:rsid w:val="009D7727"/>
    <w:rsid w:val="009D7B9F"/>
    <w:rsid w:val="009D7D4A"/>
    <w:rsid w:val="009D7DF8"/>
    <w:rsid w:val="009D7F6C"/>
    <w:rsid w:val="009E0692"/>
    <w:rsid w:val="009E0E35"/>
    <w:rsid w:val="009E0E38"/>
    <w:rsid w:val="009E0F55"/>
    <w:rsid w:val="009E126F"/>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69"/>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75B"/>
    <w:rsid w:val="00A019CF"/>
    <w:rsid w:val="00A01F03"/>
    <w:rsid w:val="00A026F9"/>
    <w:rsid w:val="00A02BE8"/>
    <w:rsid w:val="00A02DA5"/>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18"/>
    <w:rsid w:val="00A101CA"/>
    <w:rsid w:val="00A1030C"/>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A75"/>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3D74"/>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D84"/>
    <w:rsid w:val="00A40F4D"/>
    <w:rsid w:val="00A414A2"/>
    <w:rsid w:val="00A4170D"/>
    <w:rsid w:val="00A41D23"/>
    <w:rsid w:val="00A41D37"/>
    <w:rsid w:val="00A42037"/>
    <w:rsid w:val="00A4205F"/>
    <w:rsid w:val="00A4247D"/>
    <w:rsid w:val="00A42F04"/>
    <w:rsid w:val="00A43451"/>
    <w:rsid w:val="00A43688"/>
    <w:rsid w:val="00A43794"/>
    <w:rsid w:val="00A43BB9"/>
    <w:rsid w:val="00A43EBE"/>
    <w:rsid w:val="00A4423C"/>
    <w:rsid w:val="00A44387"/>
    <w:rsid w:val="00A44657"/>
    <w:rsid w:val="00A44A18"/>
    <w:rsid w:val="00A44B3C"/>
    <w:rsid w:val="00A44B7F"/>
    <w:rsid w:val="00A44C0C"/>
    <w:rsid w:val="00A44DDB"/>
    <w:rsid w:val="00A44EC5"/>
    <w:rsid w:val="00A45069"/>
    <w:rsid w:val="00A451FF"/>
    <w:rsid w:val="00A455EE"/>
    <w:rsid w:val="00A45730"/>
    <w:rsid w:val="00A45858"/>
    <w:rsid w:val="00A45B2C"/>
    <w:rsid w:val="00A45C8E"/>
    <w:rsid w:val="00A45F71"/>
    <w:rsid w:val="00A4643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1DFC"/>
    <w:rsid w:val="00A5285C"/>
    <w:rsid w:val="00A52922"/>
    <w:rsid w:val="00A5299B"/>
    <w:rsid w:val="00A52A11"/>
    <w:rsid w:val="00A52F49"/>
    <w:rsid w:val="00A52FA9"/>
    <w:rsid w:val="00A531E5"/>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1A"/>
    <w:rsid w:val="00A64A8C"/>
    <w:rsid w:val="00A64E61"/>
    <w:rsid w:val="00A64F89"/>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04D"/>
    <w:rsid w:val="00A70361"/>
    <w:rsid w:val="00A706A1"/>
    <w:rsid w:val="00A70936"/>
    <w:rsid w:val="00A70D7B"/>
    <w:rsid w:val="00A70E31"/>
    <w:rsid w:val="00A70F0A"/>
    <w:rsid w:val="00A71272"/>
    <w:rsid w:val="00A71342"/>
    <w:rsid w:val="00A71676"/>
    <w:rsid w:val="00A7196D"/>
    <w:rsid w:val="00A71BEB"/>
    <w:rsid w:val="00A71BFF"/>
    <w:rsid w:val="00A720F9"/>
    <w:rsid w:val="00A72397"/>
    <w:rsid w:val="00A72541"/>
    <w:rsid w:val="00A725FA"/>
    <w:rsid w:val="00A72645"/>
    <w:rsid w:val="00A7291B"/>
    <w:rsid w:val="00A73821"/>
    <w:rsid w:val="00A740A5"/>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2F04"/>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ECC"/>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8E6"/>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7B8"/>
    <w:rsid w:val="00AA6AB7"/>
    <w:rsid w:val="00AA6AF2"/>
    <w:rsid w:val="00AA6FAF"/>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4A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C757B"/>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4F8A"/>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54"/>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6FE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211"/>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48B"/>
    <w:rsid w:val="00B26C29"/>
    <w:rsid w:val="00B26C5E"/>
    <w:rsid w:val="00B26E05"/>
    <w:rsid w:val="00B27005"/>
    <w:rsid w:val="00B2706D"/>
    <w:rsid w:val="00B275EE"/>
    <w:rsid w:val="00B27C1B"/>
    <w:rsid w:val="00B30349"/>
    <w:rsid w:val="00B309C4"/>
    <w:rsid w:val="00B30F88"/>
    <w:rsid w:val="00B30FC6"/>
    <w:rsid w:val="00B31137"/>
    <w:rsid w:val="00B3159A"/>
    <w:rsid w:val="00B31918"/>
    <w:rsid w:val="00B31D62"/>
    <w:rsid w:val="00B31E22"/>
    <w:rsid w:val="00B3200C"/>
    <w:rsid w:val="00B3205C"/>
    <w:rsid w:val="00B32272"/>
    <w:rsid w:val="00B32566"/>
    <w:rsid w:val="00B3257D"/>
    <w:rsid w:val="00B32832"/>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8EA"/>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0783"/>
    <w:rsid w:val="00B41824"/>
    <w:rsid w:val="00B41A69"/>
    <w:rsid w:val="00B41BD0"/>
    <w:rsid w:val="00B41C42"/>
    <w:rsid w:val="00B41FD5"/>
    <w:rsid w:val="00B4203B"/>
    <w:rsid w:val="00B4268B"/>
    <w:rsid w:val="00B428FD"/>
    <w:rsid w:val="00B4296E"/>
    <w:rsid w:val="00B42ADA"/>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0F41"/>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4B55"/>
    <w:rsid w:val="00B55464"/>
    <w:rsid w:val="00B55636"/>
    <w:rsid w:val="00B5565C"/>
    <w:rsid w:val="00B556B2"/>
    <w:rsid w:val="00B556CA"/>
    <w:rsid w:val="00B558F1"/>
    <w:rsid w:val="00B5660E"/>
    <w:rsid w:val="00B567F0"/>
    <w:rsid w:val="00B56B2F"/>
    <w:rsid w:val="00B57009"/>
    <w:rsid w:val="00B5716A"/>
    <w:rsid w:val="00B5720F"/>
    <w:rsid w:val="00B57291"/>
    <w:rsid w:val="00B5745E"/>
    <w:rsid w:val="00B57518"/>
    <w:rsid w:val="00B57522"/>
    <w:rsid w:val="00B57DB4"/>
    <w:rsid w:val="00B57DDE"/>
    <w:rsid w:val="00B601F3"/>
    <w:rsid w:val="00B6078F"/>
    <w:rsid w:val="00B607F9"/>
    <w:rsid w:val="00B61508"/>
    <w:rsid w:val="00B61511"/>
    <w:rsid w:val="00B6156E"/>
    <w:rsid w:val="00B6178D"/>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31"/>
    <w:rsid w:val="00B718C3"/>
    <w:rsid w:val="00B71BAD"/>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B44"/>
    <w:rsid w:val="00B74D98"/>
    <w:rsid w:val="00B74E79"/>
    <w:rsid w:val="00B752CE"/>
    <w:rsid w:val="00B752DB"/>
    <w:rsid w:val="00B760CA"/>
    <w:rsid w:val="00B761B8"/>
    <w:rsid w:val="00B76672"/>
    <w:rsid w:val="00B76BFA"/>
    <w:rsid w:val="00B77161"/>
    <w:rsid w:val="00B776D8"/>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4DB9"/>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A82"/>
    <w:rsid w:val="00BA1B5C"/>
    <w:rsid w:val="00BA1CB7"/>
    <w:rsid w:val="00BA2248"/>
    <w:rsid w:val="00BA271F"/>
    <w:rsid w:val="00BA28D1"/>
    <w:rsid w:val="00BA2E09"/>
    <w:rsid w:val="00BA3106"/>
    <w:rsid w:val="00BA364A"/>
    <w:rsid w:val="00BA36B9"/>
    <w:rsid w:val="00BA4234"/>
    <w:rsid w:val="00BA44FB"/>
    <w:rsid w:val="00BA4783"/>
    <w:rsid w:val="00BA487E"/>
    <w:rsid w:val="00BA4A4A"/>
    <w:rsid w:val="00BA4A78"/>
    <w:rsid w:val="00BA4C7A"/>
    <w:rsid w:val="00BA4F18"/>
    <w:rsid w:val="00BA5135"/>
    <w:rsid w:val="00BA5281"/>
    <w:rsid w:val="00BA5300"/>
    <w:rsid w:val="00BA5385"/>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28E"/>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5F2C"/>
    <w:rsid w:val="00BC600D"/>
    <w:rsid w:val="00BC6028"/>
    <w:rsid w:val="00BC6191"/>
    <w:rsid w:val="00BC62D6"/>
    <w:rsid w:val="00BC6414"/>
    <w:rsid w:val="00BC6833"/>
    <w:rsid w:val="00BC68CC"/>
    <w:rsid w:val="00BC69CC"/>
    <w:rsid w:val="00BC723D"/>
    <w:rsid w:val="00BC7251"/>
    <w:rsid w:val="00BC7830"/>
    <w:rsid w:val="00BC7F9C"/>
    <w:rsid w:val="00BD020E"/>
    <w:rsid w:val="00BD0DDD"/>
    <w:rsid w:val="00BD1A2C"/>
    <w:rsid w:val="00BD1D8C"/>
    <w:rsid w:val="00BD2F4A"/>
    <w:rsid w:val="00BD34FB"/>
    <w:rsid w:val="00BD3C98"/>
    <w:rsid w:val="00BD3CB2"/>
    <w:rsid w:val="00BD3DC9"/>
    <w:rsid w:val="00BD412A"/>
    <w:rsid w:val="00BD4203"/>
    <w:rsid w:val="00BD43F7"/>
    <w:rsid w:val="00BD495C"/>
    <w:rsid w:val="00BD4A17"/>
    <w:rsid w:val="00BD4C1A"/>
    <w:rsid w:val="00BD5055"/>
    <w:rsid w:val="00BD5B16"/>
    <w:rsid w:val="00BD5C14"/>
    <w:rsid w:val="00BD5C51"/>
    <w:rsid w:val="00BD5E98"/>
    <w:rsid w:val="00BD5FAD"/>
    <w:rsid w:val="00BD62B1"/>
    <w:rsid w:val="00BD6835"/>
    <w:rsid w:val="00BD6954"/>
    <w:rsid w:val="00BD6A6E"/>
    <w:rsid w:val="00BD6DA9"/>
    <w:rsid w:val="00BD7434"/>
    <w:rsid w:val="00BD7631"/>
    <w:rsid w:val="00BD769F"/>
    <w:rsid w:val="00BD777E"/>
    <w:rsid w:val="00BD7C51"/>
    <w:rsid w:val="00BD7F53"/>
    <w:rsid w:val="00BE0047"/>
    <w:rsid w:val="00BE02AC"/>
    <w:rsid w:val="00BE0A23"/>
    <w:rsid w:val="00BE0A6D"/>
    <w:rsid w:val="00BE1169"/>
    <w:rsid w:val="00BE1494"/>
    <w:rsid w:val="00BE168A"/>
    <w:rsid w:val="00BE1840"/>
    <w:rsid w:val="00BE1B14"/>
    <w:rsid w:val="00BE1B26"/>
    <w:rsid w:val="00BE1D19"/>
    <w:rsid w:val="00BE1EAD"/>
    <w:rsid w:val="00BE1FEF"/>
    <w:rsid w:val="00BE2419"/>
    <w:rsid w:val="00BE2543"/>
    <w:rsid w:val="00BE25DE"/>
    <w:rsid w:val="00BE2CE4"/>
    <w:rsid w:val="00BE2DFB"/>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7CF"/>
    <w:rsid w:val="00BF7CDC"/>
    <w:rsid w:val="00C00016"/>
    <w:rsid w:val="00C0025B"/>
    <w:rsid w:val="00C0038B"/>
    <w:rsid w:val="00C00558"/>
    <w:rsid w:val="00C007E2"/>
    <w:rsid w:val="00C00C2D"/>
    <w:rsid w:val="00C00CE6"/>
    <w:rsid w:val="00C0120C"/>
    <w:rsid w:val="00C01230"/>
    <w:rsid w:val="00C0152F"/>
    <w:rsid w:val="00C015E8"/>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5F7"/>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409"/>
    <w:rsid w:val="00C139A8"/>
    <w:rsid w:val="00C1406F"/>
    <w:rsid w:val="00C143C6"/>
    <w:rsid w:val="00C14688"/>
    <w:rsid w:val="00C147A1"/>
    <w:rsid w:val="00C148FA"/>
    <w:rsid w:val="00C14A48"/>
    <w:rsid w:val="00C14C33"/>
    <w:rsid w:val="00C14E24"/>
    <w:rsid w:val="00C14FC9"/>
    <w:rsid w:val="00C154B8"/>
    <w:rsid w:val="00C15584"/>
    <w:rsid w:val="00C15B47"/>
    <w:rsid w:val="00C15C85"/>
    <w:rsid w:val="00C15E9F"/>
    <w:rsid w:val="00C162A9"/>
    <w:rsid w:val="00C1639A"/>
    <w:rsid w:val="00C1649F"/>
    <w:rsid w:val="00C164BA"/>
    <w:rsid w:val="00C16906"/>
    <w:rsid w:val="00C16A70"/>
    <w:rsid w:val="00C16B9E"/>
    <w:rsid w:val="00C17118"/>
    <w:rsid w:val="00C17223"/>
    <w:rsid w:val="00C1754C"/>
    <w:rsid w:val="00C179C1"/>
    <w:rsid w:val="00C201AC"/>
    <w:rsid w:val="00C208D2"/>
    <w:rsid w:val="00C20B63"/>
    <w:rsid w:val="00C20EBF"/>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2D8F"/>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79"/>
    <w:rsid w:val="00C27587"/>
    <w:rsid w:val="00C27A3C"/>
    <w:rsid w:val="00C30617"/>
    <w:rsid w:val="00C30E10"/>
    <w:rsid w:val="00C31086"/>
    <w:rsid w:val="00C31179"/>
    <w:rsid w:val="00C31318"/>
    <w:rsid w:val="00C3143B"/>
    <w:rsid w:val="00C31ADD"/>
    <w:rsid w:val="00C31CEE"/>
    <w:rsid w:val="00C32201"/>
    <w:rsid w:val="00C323BE"/>
    <w:rsid w:val="00C32959"/>
    <w:rsid w:val="00C32F16"/>
    <w:rsid w:val="00C32F2A"/>
    <w:rsid w:val="00C33156"/>
    <w:rsid w:val="00C33184"/>
    <w:rsid w:val="00C332C3"/>
    <w:rsid w:val="00C33809"/>
    <w:rsid w:val="00C34289"/>
    <w:rsid w:val="00C344AA"/>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DB1"/>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586"/>
    <w:rsid w:val="00C61793"/>
    <w:rsid w:val="00C617B4"/>
    <w:rsid w:val="00C617CE"/>
    <w:rsid w:val="00C61B1F"/>
    <w:rsid w:val="00C61DF6"/>
    <w:rsid w:val="00C61F02"/>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02E"/>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D01"/>
    <w:rsid w:val="00C81DF7"/>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266"/>
    <w:rsid w:val="00C847A7"/>
    <w:rsid w:val="00C84B83"/>
    <w:rsid w:val="00C850AC"/>
    <w:rsid w:val="00C851A9"/>
    <w:rsid w:val="00C85C8E"/>
    <w:rsid w:val="00C85D1B"/>
    <w:rsid w:val="00C85E30"/>
    <w:rsid w:val="00C85F31"/>
    <w:rsid w:val="00C8612B"/>
    <w:rsid w:val="00C86252"/>
    <w:rsid w:val="00C8651F"/>
    <w:rsid w:val="00C869C9"/>
    <w:rsid w:val="00C86E88"/>
    <w:rsid w:val="00C87277"/>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8C1"/>
    <w:rsid w:val="00C92B98"/>
    <w:rsid w:val="00C92CDB"/>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960"/>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3E"/>
    <w:rsid w:val="00CC005F"/>
    <w:rsid w:val="00CC00BD"/>
    <w:rsid w:val="00CC02B6"/>
    <w:rsid w:val="00CC04BA"/>
    <w:rsid w:val="00CC0515"/>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213"/>
    <w:rsid w:val="00CD63D6"/>
    <w:rsid w:val="00CD69F7"/>
    <w:rsid w:val="00CD725C"/>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2F27"/>
    <w:rsid w:val="00CE31E6"/>
    <w:rsid w:val="00CE34D4"/>
    <w:rsid w:val="00CE42ED"/>
    <w:rsid w:val="00CE4302"/>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23F"/>
    <w:rsid w:val="00CF04AA"/>
    <w:rsid w:val="00CF088B"/>
    <w:rsid w:val="00CF0D36"/>
    <w:rsid w:val="00CF1AD8"/>
    <w:rsid w:val="00CF1C71"/>
    <w:rsid w:val="00CF1E6B"/>
    <w:rsid w:val="00CF1E7D"/>
    <w:rsid w:val="00CF2175"/>
    <w:rsid w:val="00CF3DB0"/>
    <w:rsid w:val="00CF4710"/>
    <w:rsid w:val="00CF4C54"/>
    <w:rsid w:val="00CF4F27"/>
    <w:rsid w:val="00CF4FC0"/>
    <w:rsid w:val="00CF53E0"/>
    <w:rsid w:val="00CF5421"/>
    <w:rsid w:val="00CF5837"/>
    <w:rsid w:val="00CF608B"/>
    <w:rsid w:val="00CF609D"/>
    <w:rsid w:val="00CF6127"/>
    <w:rsid w:val="00CF62AC"/>
    <w:rsid w:val="00CF647C"/>
    <w:rsid w:val="00CF663A"/>
    <w:rsid w:val="00CF69AF"/>
    <w:rsid w:val="00CF6DD9"/>
    <w:rsid w:val="00CF7195"/>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46F8"/>
    <w:rsid w:val="00D0520F"/>
    <w:rsid w:val="00D05906"/>
    <w:rsid w:val="00D05FCF"/>
    <w:rsid w:val="00D06101"/>
    <w:rsid w:val="00D0611E"/>
    <w:rsid w:val="00D06181"/>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65"/>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1DF"/>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6A04"/>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2F07"/>
    <w:rsid w:val="00D4335D"/>
    <w:rsid w:val="00D435FD"/>
    <w:rsid w:val="00D43640"/>
    <w:rsid w:val="00D43DAC"/>
    <w:rsid w:val="00D43DBD"/>
    <w:rsid w:val="00D4427B"/>
    <w:rsid w:val="00D442F0"/>
    <w:rsid w:val="00D44327"/>
    <w:rsid w:val="00D44393"/>
    <w:rsid w:val="00D4445D"/>
    <w:rsid w:val="00D44648"/>
    <w:rsid w:val="00D44663"/>
    <w:rsid w:val="00D44920"/>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253"/>
    <w:rsid w:val="00D5444A"/>
    <w:rsid w:val="00D5449F"/>
    <w:rsid w:val="00D54AA1"/>
    <w:rsid w:val="00D5533C"/>
    <w:rsid w:val="00D558B4"/>
    <w:rsid w:val="00D55A61"/>
    <w:rsid w:val="00D55E92"/>
    <w:rsid w:val="00D55EA5"/>
    <w:rsid w:val="00D564E2"/>
    <w:rsid w:val="00D56995"/>
    <w:rsid w:val="00D56A96"/>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8E0"/>
    <w:rsid w:val="00D628EC"/>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29C"/>
    <w:rsid w:val="00D80309"/>
    <w:rsid w:val="00D8048C"/>
    <w:rsid w:val="00D80C7F"/>
    <w:rsid w:val="00D80E19"/>
    <w:rsid w:val="00D80F02"/>
    <w:rsid w:val="00D814B3"/>
    <w:rsid w:val="00D822D5"/>
    <w:rsid w:val="00D8239B"/>
    <w:rsid w:val="00D825DC"/>
    <w:rsid w:val="00D82765"/>
    <w:rsid w:val="00D8299B"/>
    <w:rsid w:val="00D82FF5"/>
    <w:rsid w:val="00D83761"/>
    <w:rsid w:val="00D839A0"/>
    <w:rsid w:val="00D83C7B"/>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2A2"/>
    <w:rsid w:val="00DA26DC"/>
    <w:rsid w:val="00DA3209"/>
    <w:rsid w:val="00DA3D7F"/>
    <w:rsid w:val="00DA41A1"/>
    <w:rsid w:val="00DA4292"/>
    <w:rsid w:val="00DA4735"/>
    <w:rsid w:val="00DA4753"/>
    <w:rsid w:val="00DA4844"/>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B7F2C"/>
    <w:rsid w:val="00DC0184"/>
    <w:rsid w:val="00DC0411"/>
    <w:rsid w:val="00DC08F6"/>
    <w:rsid w:val="00DC0B0D"/>
    <w:rsid w:val="00DC109F"/>
    <w:rsid w:val="00DC1196"/>
    <w:rsid w:val="00DC1762"/>
    <w:rsid w:val="00DC1C3B"/>
    <w:rsid w:val="00DC1E22"/>
    <w:rsid w:val="00DC23D4"/>
    <w:rsid w:val="00DC24E7"/>
    <w:rsid w:val="00DC26E0"/>
    <w:rsid w:val="00DC28D0"/>
    <w:rsid w:val="00DC2A4C"/>
    <w:rsid w:val="00DC35F0"/>
    <w:rsid w:val="00DC36F0"/>
    <w:rsid w:val="00DC39B8"/>
    <w:rsid w:val="00DC3C51"/>
    <w:rsid w:val="00DC3D4A"/>
    <w:rsid w:val="00DC442F"/>
    <w:rsid w:val="00DC4AED"/>
    <w:rsid w:val="00DC4F72"/>
    <w:rsid w:val="00DC4F85"/>
    <w:rsid w:val="00DC52CE"/>
    <w:rsid w:val="00DC5362"/>
    <w:rsid w:val="00DC5750"/>
    <w:rsid w:val="00DC5909"/>
    <w:rsid w:val="00DC623A"/>
    <w:rsid w:val="00DC62BA"/>
    <w:rsid w:val="00DC687C"/>
    <w:rsid w:val="00DC69B5"/>
    <w:rsid w:val="00DC6AF4"/>
    <w:rsid w:val="00DC6C71"/>
    <w:rsid w:val="00DC6C7D"/>
    <w:rsid w:val="00DC6CBB"/>
    <w:rsid w:val="00DC6CD5"/>
    <w:rsid w:val="00DC6D76"/>
    <w:rsid w:val="00DC6E13"/>
    <w:rsid w:val="00DC6EA1"/>
    <w:rsid w:val="00DC74D5"/>
    <w:rsid w:val="00DC7749"/>
    <w:rsid w:val="00DC7769"/>
    <w:rsid w:val="00DC778E"/>
    <w:rsid w:val="00DC7AE8"/>
    <w:rsid w:val="00DC7B5D"/>
    <w:rsid w:val="00DD0158"/>
    <w:rsid w:val="00DD02EC"/>
    <w:rsid w:val="00DD030C"/>
    <w:rsid w:val="00DD0722"/>
    <w:rsid w:val="00DD0FC1"/>
    <w:rsid w:val="00DD14D3"/>
    <w:rsid w:val="00DD1A16"/>
    <w:rsid w:val="00DD1AFF"/>
    <w:rsid w:val="00DD1BCA"/>
    <w:rsid w:val="00DD2676"/>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5CD"/>
    <w:rsid w:val="00DF0634"/>
    <w:rsid w:val="00DF0821"/>
    <w:rsid w:val="00DF0977"/>
    <w:rsid w:val="00DF0BFB"/>
    <w:rsid w:val="00DF0C01"/>
    <w:rsid w:val="00DF1684"/>
    <w:rsid w:val="00DF1F60"/>
    <w:rsid w:val="00DF21B8"/>
    <w:rsid w:val="00DF282B"/>
    <w:rsid w:val="00DF3112"/>
    <w:rsid w:val="00DF32CA"/>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BC6"/>
    <w:rsid w:val="00E03C35"/>
    <w:rsid w:val="00E044F9"/>
    <w:rsid w:val="00E04580"/>
    <w:rsid w:val="00E04C16"/>
    <w:rsid w:val="00E04E01"/>
    <w:rsid w:val="00E04E6F"/>
    <w:rsid w:val="00E051C4"/>
    <w:rsid w:val="00E05689"/>
    <w:rsid w:val="00E0588F"/>
    <w:rsid w:val="00E05976"/>
    <w:rsid w:val="00E05B6E"/>
    <w:rsid w:val="00E062E3"/>
    <w:rsid w:val="00E0637B"/>
    <w:rsid w:val="00E06591"/>
    <w:rsid w:val="00E06751"/>
    <w:rsid w:val="00E06937"/>
    <w:rsid w:val="00E06A0D"/>
    <w:rsid w:val="00E06B0C"/>
    <w:rsid w:val="00E06E74"/>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5CD"/>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2D6"/>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4C8F"/>
    <w:rsid w:val="00E35064"/>
    <w:rsid w:val="00E352FD"/>
    <w:rsid w:val="00E3544D"/>
    <w:rsid w:val="00E3587B"/>
    <w:rsid w:val="00E358D9"/>
    <w:rsid w:val="00E35CED"/>
    <w:rsid w:val="00E36178"/>
    <w:rsid w:val="00E363CB"/>
    <w:rsid w:val="00E36964"/>
    <w:rsid w:val="00E3707F"/>
    <w:rsid w:val="00E37349"/>
    <w:rsid w:val="00E37484"/>
    <w:rsid w:val="00E376D9"/>
    <w:rsid w:val="00E40091"/>
    <w:rsid w:val="00E403C8"/>
    <w:rsid w:val="00E405AE"/>
    <w:rsid w:val="00E407B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25B"/>
    <w:rsid w:val="00E4341A"/>
    <w:rsid w:val="00E43BEB"/>
    <w:rsid w:val="00E43D81"/>
    <w:rsid w:val="00E43DA7"/>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045"/>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730"/>
    <w:rsid w:val="00E7188C"/>
    <w:rsid w:val="00E71A1A"/>
    <w:rsid w:val="00E71FBB"/>
    <w:rsid w:val="00E720DE"/>
    <w:rsid w:val="00E7269E"/>
    <w:rsid w:val="00E727A5"/>
    <w:rsid w:val="00E72C3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3F99"/>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8FB"/>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17C"/>
    <w:rsid w:val="00EA129B"/>
    <w:rsid w:val="00EA133C"/>
    <w:rsid w:val="00EA1A13"/>
    <w:rsid w:val="00EA1FC6"/>
    <w:rsid w:val="00EA2718"/>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0B0"/>
    <w:rsid w:val="00EB22EB"/>
    <w:rsid w:val="00EB26C5"/>
    <w:rsid w:val="00EB2AC9"/>
    <w:rsid w:val="00EB2B77"/>
    <w:rsid w:val="00EB2DDD"/>
    <w:rsid w:val="00EB2EFC"/>
    <w:rsid w:val="00EB3003"/>
    <w:rsid w:val="00EB3053"/>
    <w:rsid w:val="00EB3228"/>
    <w:rsid w:val="00EB38F9"/>
    <w:rsid w:val="00EB39A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07"/>
    <w:rsid w:val="00EC50E2"/>
    <w:rsid w:val="00EC5140"/>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097"/>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987"/>
    <w:rsid w:val="00ED5BB7"/>
    <w:rsid w:val="00ED64E7"/>
    <w:rsid w:val="00ED67F2"/>
    <w:rsid w:val="00ED6C6D"/>
    <w:rsid w:val="00ED72E4"/>
    <w:rsid w:val="00ED7C39"/>
    <w:rsid w:val="00ED7C9A"/>
    <w:rsid w:val="00EE028F"/>
    <w:rsid w:val="00EE0941"/>
    <w:rsid w:val="00EE0DB2"/>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AC7"/>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30A"/>
    <w:rsid w:val="00F10B2B"/>
    <w:rsid w:val="00F10BA2"/>
    <w:rsid w:val="00F10E67"/>
    <w:rsid w:val="00F110DB"/>
    <w:rsid w:val="00F113DB"/>
    <w:rsid w:val="00F116E6"/>
    <w:rsid w:val="00F117BD"/>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877"/>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5C9"/>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C2F"/>
    <w:rsid w:val="00F43D41"/>
    <w:rsid w:val="00F4490D"/>
    <w:rsid w:val="00F44D5C"/>
    <w:rsid w:val="00F44DEA"/>
    <w:rsid w:val="00F45974"/>
    <w:rsid w:val="00F459FF"/>
    <w:rsid w:val="00F45EEF"/>
    <w:rsid w:val="00F4606E"/>
    <w:rsid w:val="00F4633D"/>
    <w:rsid w:val="00F46A54"/>
    <w:rsid w:val="00F4715C"/>
    <w:rsid w:val="00F473F1"/>
    <w:rsid w:val="00F47B45"/>
    <w:rsid w:val="00F47B6D"/>
    <w:rsid w:val="00F47B7A"/>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A5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A2F"/>
    <w:rsid w:val="00F85C0E"/>
    <w:rsid w:val="00F85ED5"/>
    <w:rsid w:val="00F85F55"/>
    <w:rsid w:val="00F861B8"/>
    <w:rsid w:val="00F864E8"/>
    <w:rsid w:val="00F8667B"/>
    <w:rsid w:val="00F873BE"/>
    <w:rsid w:val="00F87476"/>
    <w:rsid w:val="00F8786E"/>
    <w:rsid w:val="00F87B1A"/>
    <w:rsid w:val="00F87C14"/>
    <w:rsid w:val="00F87E18"/>
    <w:rsid w:val="00F902F4"/>
    <w:rsid w:val="00F905AF"/>
    <w:rsid w:val="00F906EA"/>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4C1"/>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5C5"/>
    <w:rsid w:val="00FB29D8"/>
    <w:rsid w:val="00FB2B59"/>
    <w:rsid w:val="00FB3B01"/>
    <w:rsid w:val="00FB3C47"/>
    <w:rsid w:val="00FB4113"/>
    <w:rsid w:val="00FB41E9"/>
    <w:rsid w:val="00FB4353"/>
    <w:rsid w:val="00FB43BF"/>
    <w:rsid w:val="00FB4693"/>
    <w:rsid w:val="00FB4B40"/>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1EB2"/>
    <w:rsid w:val="00FD2000"/>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7D"/>
    <w:rsid w:val="00FE089B"/>
    <w:rsid w:val="00FE0924"/>
    <w:rsid w:val="00FE097E"/>
    <w:rsid w:val="00FE0F57"/>
    <w:rsid w:val="00FE16EE"/>
    <w:rsid w:val="00FE17B1"/>
    <w:rsid w:val="00FE1B64"/>
    <w:rsid w:val="00FE1B73"/>
    <w:rsid w:val="00FE203D"/>
    <w:rsid w:val="00FE21B9"/>
    <w:rsid w:val="00FE21F9"/>
    <w:rsid w:val="00FE4256"/>
    <w:rsid w:val="00FE4362"/>
    <w:rsid w:val="00FE4547"/>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CEDD5F1"/>
  <w15:chartTrackingRefBased/>
  <w15:docId w15:val="{206D7948-F20A-4841-A765-916A52E3E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ST Table,Check(v),Table-Text,x Tableau page de garde,表（文字列）"/>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RAN4Observation">
    <w:name w:val="RAN4 Observation"/>
    <w:basedOn w:val="ListParagraph"/>
    <w:next w:val="Normal"/>
    <w:rsid w:val="00071105"/>
    <w:pPr>
      <w:numPr>
        <w:numId w:val="13"/>
      </w:numPr>
      <w:tabs>
        <w:tab w:val="num" w:pos="360"/>
      </w:tabs>
      <w:overflowPunct/>
      <w:autoSpaceDE/>
      <w:autoSpaceDN/>
      <w:adjustRightInd/>
      <w:spacing w:after="160" w:line="256" w:lineRule="auto"/>
      <w:ind w:left="720" w:firstLine="0"/>
      <w:textAlignment w:val="auto"/>
    </w:pPr>
    <w:rPr>
      <w:rFonts w:eastAsia="Calibri"/>
    </w:rPr>
  </w:style>
  <w:style w:type="character" w:customStyle="1" w:styleId="RAN4observationChar">
    <w:name w:val="RAN4 observation Char"/>
    <w:basedOn w:val="DefaultParagraphFont"/>
    <w:link w:val="RAN4observation0"/>
    <w:locked/>
    <w:rsid w:val="00071105"/>
    <w:rPr>
      <w:rFonts w:eastAsia="Calibri"/>
      <w:lang w:val="en-GB"/>
    </w:rPr>
  </w:style>
  <w:style w:type="paragraph" w:customStyle="1" w:styleId="RAN4observation0">
    <w:name w:val="RAN4 observation"/>
    <w:basedOn w:val="Normal"/>
    <w:next w:val="Normal"/>
    <w:link w:val="RAN4observationChar"/>
    <w:qFormat/>
    <w:rsid w:val="00071105"/>
    <w:pPr>
      <w:spacing w:after="160" w:line="256" w:lineRule="auto"/>
      <w:ind w:left="567" w:hanging="283"/>
      <w:contextualSpacing/>
    </w:pPr>
    <w:rPr>
      <w:rFonts w:eastAsia="Calibri"/>
      <w:lang w:eastAsia="zh-CN"/>
    </w:rPr>
  </w:style>
  <w:style w:type="character" w:customStyle="1" w:styleId="normaltextrun">
    <w:name w:val="normaltextrun"/>
    <w:basedOn w:val="DefaultParagraphFont"/>
    <w:rsid w:val="0063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6394104">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1405710">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515642">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5965242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018301">
      <w:bodyDiv w:val="1"/>
      <w:marLeft w:val="0"/>
      <w:marRight w:val="0"/>
      <w:marTop w:val="0"/>
      <w:marBottom w:val="0"/>
      <w:divBdr>
        <w:top w:val="none" w:sz="0" w:space="0" w:color="auto"/>
        <w:left w:val="none" w:sz="0" w:space="0" w:color="auto"/>
        <w:bottom w:val="none" w:sz="0" w:space="0" w:color="auto"/>
        <w:right w:val="none" w:sz="0" w:space="0" w:color="auto"/>
      </w:divBdr>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210017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2629837">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87077321">
      <w:bodyDiv w:val="1"/>
      <w:marLeft w:val="0"/>
      <w:marRight w:val="0"/>
      <w:marTop w:val="0"/>
      <w:marBottom w:val="0"/>
      <w:divBdr>
        <w:top w:val="none" w:sz="0" w:space="0" w:color="auto"/>
        <w:left w:val="none" w:sz="0" w:space="0" w:color="auto"/>
        <w:bottom w:val="none" w:sz="0" w:space="0" w:color="auto"/>
        <w:right w:val="none" w:sz="0" w:space="0" w:color="auto"/>
      </w:divBdr>
      <w:divsChild>
        <w:div w:id="587351980">
          <w:marLeft w:val="2146"/>
          <w:marRight w:val="0"/>
          <w:marTop w:val="58"/>
          <w:marBottom w:val="0"/>
          <w:divBdr>
            <w:top w:val="none" w:sz="0" w:space="0" w:color="auto"/>
            <w:left w:val="none" w:sz="0" w:space="0" w:color="auto"/>
            <w:bottom w:val="none" w:sz="0" w:space="0" w:color="auto"/>
            <w:right w:val="none" w:sz="0" w:space="0" w:color="auto"/>
          </w:divBdr>
        </w:div>
      </w:divsChild>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37077942">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367886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36186">
      <w:bodyDiv w:val="1"/>
      <w:marLeft w:val="0"/>
      <w:marRight w:val="0"/>
      <w:marTop w:val="0"/>
      <w:marBottom w:val="0"/>
      <w:divBdr>
        <w:top w:val="none" w:sz="0" w:space="0" w:color="auto"/>
        <w:left w:val="none" w:sz="0" w:space="0" w:color="auto"/>
        <w:bottom w:val="none" w:sz="0" w:space="0" w:color="auto"/>
        <w:right w:val="none" w:sz="0" w:space="0" w:color="auto"/>
      </w:divBdr>
      <w:divsChild>
        <w:div w:id="43678382">
          <w:marLeft w:val="0"/>
          <w:marRight w:val="0"/>
          <w:marTop w:val="0"/>
          <w:marBottom w:val="0"/>
          <w:divBdr>
            <w:top w:val="none" w:sz="0" w:space="0" w:color="auto"/>
            <w:left w:val="none" w:sz="0" w:space="0" w:color="auto"/>
            <w:bottom w:val="none" w:sz="0" w:space="0" w:color="auto"/>
            <w:right w:val="none" w:sz="0" w:space="0" w:color="auto"/>
          </w:divBdr>
          <w:divsChild>
            <w:div w:id="1250122531">
              <w:marLeft w:val="0"/>
              <w:marRight w:val="0"/>
              <w:marTop w:val="0"/>
              <w:marBottom w:val="0"/>
              <w:divBdr>
                <w:top w:val="none" w:sz="0" w:space="0" w:color="auto"/>
                <w:left w:val="none" w:sz="0" w:space="0" w:color="auto"/>
                <w:bottom w:val="none" w:sz="0" w:space="0" w:color="auto"/>
                <w:right w:val="none" w:sz="0" w:space="0" w:color="auto"/>
              </w:divBdr>
            </w:div>
          </w:divsChild>
        </w:div>
        <w:div w:id="138545041">
          <w:marLeft w:val="0"/>
          <w:marRight w:val="0"/>
          <w:marTop w:val="0"/>
          <w:marBottom w:val="0"/>
          <w:divBdr>
            <w:top w:val="none" w:sz="0" w:space="0" w:color="auto"/>
            <w:left w:val="none" w:sz="0" w:space="0" w:color="auto"/>
            <w:bottom w:val="none" w:sz="0" w:space="0" w:color="auto"/>
            <w:right w:val="none" w:sz="0" w:space="0" w:color="auto"/>
          </w:divBdr>
          <w:divsChild>
            <w:div w:id="975646310">
              <w:marLeft w:val="0"/>
              <w:marRight w:val="0"/>
              <w:marTop w:val="0"/>
              <w:marBottom w:val="0"/>
              <w:divBdr>
                <w:top w:val="none" w:sz="0" w:space="0" w:color="auto"/>
                <w:left w:val="none" w:sz="0" w:space="0" w:color="auto"/>
                <w:bottom w:val="none" w:sz="0" w:space="0" w:color="auto"/>
                <w:right w:val="none" w:sz="0" w:space="0" w:color="auto"/>
              </w:divBdr>
            </w:div>
          </w:divsChild>
        </w:div>
        <w:div w:id="163210636">
          <w:marLeft w:val="0"/>
          <w:marRight w:val="0"/>
          <w:marTop w:val="0"/>
          <w:marBottom w:val="0"/>
          <w:divBdr>
            <w:top w:val="none" w:sz="0" w:space="0" w:color="auto"/>
            <w:left w:val="none" w:sz="0" w:space="0" w:color="auto"/>
            <w:bottom w:val="none" w:sz="0" w:space="0" w:color="auto"/>
            <w:right w:val="none" w:sz="0" w:space="0" w:color="auto"/>
          </w:divBdr>
          <w:divsChild>
            <w:div w:id="1512835003">
              <w:marLeft w:val="0"/>
              <w:marRight w:val="0"/>
              <w:marTop w:val="0"/>
              <w:marBottom w:val="0"/>
              <w:divBdr>
                <w:top w:val="none" w:sz="0" w:space="0" w:color="auto"/>
                <w:left w:val="none" w:sz="0" w:space="0" w:color="auto"/>
                <w:bottom w:val="none" w:sz="0" w:space="0" w:color="auto"/>
                <w:right w:val="none" w:sz="0" w:space="0" w:color="auto"/>
              </w:divBdr>
            </w:div>
          </w:divsChild>
        </w:div>
        <w:div w:id="324168684">
          <w:marLeft w:val="0"/>
          <w:marRight w:val="0"/>
          <w:marTop w:val="0"/>
          <w:marBottom w:val="0"/>
          <w:divBdr>
            <w:top w:val="none" w:sz="0" w:space="0" w:color="auto"/>
            <w:left w:val="none" w:sz="0" w:space="0" w:color="auto"/>
            <w:bottom w:val="none" w:sz="0" w:space="0" w:color="auto"/>
            <w:right w:val="none" w:sz="0" w:space="0" w:color="auto"/>
          </w:divBdr>
          <w:divsChild>
            <w:div w:id="1121803071">
              <w:marLeft w:val="0"/>
              <w:marRight w:val="0"/>
              <w:marTop w:val="0"/>
              <w:marBottom w:val="0"/>
              <w:divBdr>
                <w:top w:val="none" w:sz="0" w:space="0" w:color="auto"/>
                <w:left w:val="none" w:sz="0" w:space="0" w:color="auto"/>
                <w:bottom w:val="none" w:sz="0" w:space="0" w:color="auto"/>
                <w:right w:val="none" w:sz="0" w:space="0" w:color="auto"/>
              </w:divBdr>
            </w:div>
          </w:divsChild>
        </w:div>
        <w:div w:id="566038817">
          <w:marLeft w:val="0"/>
          <w:marRight w:val="0"/>
          <w:marTop w:val="0"/>
          <w:marBottom w:val="0"/>
          <w:divBdr>
            <w:top w:val="none" w:sz="0" w:space="0" w:color="auto"/>
            <w:left w:val="none" w:sz="0" w:space="0" w:color="auto"/>
            <w:bottom w:val="none" w:sz="0" w:space="0" w:color="auto"/>
            <w:right w:val="none" w:sz="0" w:space="0" w:color="auto"/>
          </w:divBdr>
          <w:divsChild>
            <w:div w:id="1451899825">
              <w:marLeft w:val="0"/>
              <w:marRight w:val="0"/>
              <w:marTop w:val="0"/>
              <w:marBottom w:val="0"/>
              <w:divBdr>
                <w:top w:val="none" w:sz="0" w:space="0" w:color="auto"/>
                <w:left w:val="none" w:sz="0" w:space="0" w:color="auto"/>
                <w:bottom w:val="none" w:sz="0" w:space="0" w:color="auto"/>
                <w:right w:val="none" w:sz="0" w:space="0" w:color="auto"/>
              </w:divBdr>
            </w:div>
          </w:divsChild>
        </w:div>
        <w:div w:id="789666426">
          <w:marLeft w:val="0"/>
          <w:marRight w:val="0"/>
          <w:marTop w:val="0"/>
          <w:marBottom w:val="0"/>
          <w:divBdr>
            <w:top w:val="none" w:sz="0" w:space="0" w:color="auto"/>
            <w:left w:val="none" w:sz="0" w:space="0" w:color="auto"/>
            <w:bottom w:val="none" w:sz="0" w:space="0" w:color="auto"/>
            <w:right w:val="none" w:sz="0" w:space="0" w:color="auto"/>
          </w:divBdr>
          <w:divsChild>
            <w:div w:id="139007719">
              <w:marLeft w:val="0"/>
              <w:marRight w:val="0"/>
              <w:marTop w:val="0"/>
              <w:marBottom w:val="0"/>
              <w:divBdr>
                <w:top w:val="none" w:sz="0" w:space="0" w:color="auto"/>
                <w:left w:val="none" w:sz="0" w:space="0" w:color="auto"/>
                <w:bottom w:val="none" w:sz="0" w:space="0" w:color="auto"/>
                <w:right w:val="none" w:sz="0" w:space="0" w:color="auto"/>
              </w:divBdr>
            </w:div>
          </w:divsChild>
        </w:div>
        <w:div w:id="878971811">
          <w:marLeft w:val="0"/>
          <w:marRight w:val="0"/>
          <w:marTop w:val="0"/>
          <w:marBottom w:val="0"/>
          <w:divBdr>
            <w:top w:val="none" w:sz="0" w:space="0" w:color="auto"/>
            <w:left w:val="none" w:sz="0" w:space="0" w:color="auto"/>
            <w:bottom w:val="none" w:sz="0" w:space="0" w:color="auto"/>
            <w:right w:val="none" w:sz="0" w:space="0" w:color="auto"/>
          </w:divBdr>
          <w:divsChild>
            <w:div w:id="1704598061">
              <w:marLeft w:val="0"/>
              <w:marRight w:val="0"/>
              <w:marTop w:val="0"/>
              <w:marBottom w:val="0"/>
              <w:divBdr>
                <w:top w:val="none" w:sz="0" w:space="0" w:color="auto"/>
                <w:left w:val="none" w:sz="0" w:space="0" w:color="auto"/>
                <w:bottom w:val="none" w:sz="0" w:space="0" w:color="auto"/>
                <w:right w:val="none" w:sz="0" w:space="0" w:color="auto"/>
              </w:divBdr>
            </w:div>
          </w:divsChild>
        </w:div>
        <w:div w:id="1101994934">
          <w:marLeft w:val="0"/>
          <w:marRight w:val="0"/>
          <w:marTop w:val="0"/>
          <w:marBottom w:val="0"/>
          <w:divBdr>
            <w:top w:val="none" w:sz="0" w:space="0" w:color="auto"/>
            <w:left w:val="none" w:sz="0" w:space="0" w:color="auto"/>
            <w:bottom w:val="none" w:sz="0" w:space="0" w:color="auto"/>
            <w:right w:val="none" w:sz="0" w:space="0" w:color="auto"/>
          </w:divBdr>
          <w:divsChild>
            <w:div w:id="1485849116">
              <w:marLeft w:val="0"/>
              <w:marRight w:val="0"/>
              <w:marTop w:val="0"/>
              <w:marBottom w:val="0"/>
              <w:divBdr>
                <w:top w:val="none" w:sz="0" w:space="0" w:color="auto"/>
                <w:left w:val="none" w:sz="0" w:space="0" w:color="auto"/>
                <w:bottom w:val="none" w:sz="0" w:space="0" w:color="auto"/>
                <w:right w:val="none" w:sz="0" w:space="0" w:color="auto"/>
              </w:divBdr>
            </w:div>
          </w:divsChild>
        </w:div>
        <w:div w:id="1200584357">
          <w:marLeft w:val="0"/>
          <w:marRight w:val="0"/>
          <w:marTop w:val="0"/>
          <w:marBottom w:val="0"/>
          <w:divBdr>
            <w:top w:val="none" w:sz="0" w:space="0" w:color="auto"/>
            <w:left w:val="none" w:sz="0" w:space="0" w:color="auto"/>
            <w:bottom w:val="none" w:sz="0" w:space="0" w:color="auto"/>
            <w:right w:val="none" w:sz="0" w:space="0" w:color="auto"/>
          </w:divBdr>
          <w:divsChild>
            <w:div w:id="1867213453">
              <w:marLeft w:val="0"/>
              <w:marRight w:val="0"/>
              <w:marTop w:val="0"/>
              <w:marBottom w:val="0"/>
              <w:divBdr>
                <w:top w:val="none" w:sz="0" w:space="0" w:color="auto"/>
                <w:left w:val="none" w:sz="0" w:space="0" w:color="auto"/>
                <w:bottom w:val="none" w:sz="0" w:space="0" w:color="auto"/>
                <w:right w:val="none" w:sz="0" w:space="0" w:color="auto"/>
              </w:divBdr>
            </w:div>
          </w:divsChild>
        </w:div>
        <w:div w:id="1373656963">
          <w:marLeft w:val="0"/>
          <w:marRight w:val="0"/>
          <w:marTop w:val="0"/>
          <w:marBottom w:val="0"/>
          <w:divBdr>
            <w:top w:val="none" w:sz="0" w:space="0" w:color="auto"/>
            <w:left w:val="none" w:sz="0" w:space="0" w:color="auto"/>
            <w:bottom w:val="none" w:sz="0" w:space="0" w:color="auto"/>
            <w:right w:val="none" w:sz="0" w:space="0" w:color="auto"/>
          </w:divBdr>
          <w:divsChild>
            <w:div w:id="1537304645">
              <w:marLeft w:val="0"/>
              <w:marRight w:val="0"/>
              <w:marTop w:val="0"/>
              <w:marBottom w:val="0"/>
              <w:divBdr>
                <w:top w:val="none" w:sz="0" w:space="0" w:color="auto"/>
                <w:left w:val="none" w:sz="0" w:space="0" w:color="auto"/>
                <w:bottom w:val="none" w:sz="0" w:space="0" w:color="auto"/>
                <w:right w:val="none" w:sz="0" w:space="0" w:color="auto"/>
              </w:divBdr>
            </w:div>
          </w:divsChild>
        </w:div>
        <w:div w:id="1548180759">
          <w:marLeft w:val="0"/>
          <w:marRight w:val="0"/>
          <w:marTop w:val="0"/>
          <w:marBottom w:val="0"/>
          <w:divBdr>
            <w:top w:val="none" w:sz="0" w:space="0" w:color="auto"/>
            <w:left w:val="none" w:sz="0" w:space="0" w:color="auto"/>
            <w:bottom w:val="none" w:sz="0" w:space="0" w:color="auto"/>
            <w:right w:val="none" w:sz="0" w:space="0" w:color="auto"/>
          </w:divBdr>
          <w:divsChild>
            <w:div w:id="1491556160">
              <w:marLeft w:val="0"/>
              <w:marRight w:val="0"/>
              <w:marTop w:val="0"/>
              <w:marBottom w:val="0"/>
              <w:divBdr>
                <w:top w:val="none" w:sz="0" w:space="0" w:color="auto"/>
                <w:left w:val="none" w:sz="0" w:space="0" w:color="auto"/>
                <w:bottom w:val="none" w:sz="0" w:space="0" w:color="auto"/>
                <w:right w:val="none" w:sz="0" w:space="0" w:color="auto"/>
              </w:divBdr>
            </w:div>
          </w:divsChild>
        </w:div>
        <w:div w:id="1561164611">
          <w:marLeft w:val="0"/>
          <w:marRight w:val="0"/>
          <w:marTop w:val="0"/>
          <w:marBottom w:val="0"/>
          <w:divBdr>
            <w:top w:val="none" w:sz="0" w:space="0" w:color="auto"/>
            <w:left w:val="none" w:sz="0" w:space="0" w:color="auto"/>
            <w:bottom w:val="none" w:sz="0" w:space="0" w:color="auto"/>
            <w:right w:val="none" w:sz="0" w:space="0" w:color="auto"/>
          </w:divBdr>
          <w:divsChild>
            <w:div w:id="1276795022">
              <w:marLeft w:val="0"/>
              <w:marRight w:val="0"/>
              <w:marTop w:val="0"/>
              <w:marBottom w:val="0"/>
              <w:divBdr>
                <w:top w:val="none" w:sz="0" w:space="0" w:color="auto"/>
                <w:left w:val="none" w:sz="0" w:space="0" w:color="auto"/>
                <w:bottom w:val="none" w:sz="0" w:space="0" w:color="auto"/>
                <w:right w:val="none" w:sz="0" w:space="0" w:color="auto"/>
              </w:divBdr>
            </w:div>
          </w:divsChild>
        </w:div>
        <w:div w:id="1868636378">
          <w:marLeft w:val="0"/>
          <w:marRight w:val="0"/>
          <w:marTop w:val="0"/>
          <w:marBottom w:val="0"/>
          <w:divBdr>
            <w:top w:val="none" w:sz="0" w:space="0" w:color="auto"/>
            <w:left w:val="none" w:sz="0" w:space="0" w:color="auto"/>
            <w:bottom w:val="none" w:sz="0" w:space="0" w:color="auto"/>
            <w:right w:val="none" w:sz="0" w:space="0" w:color="auto"/>
          </w:divBdr>
          <w:divsChild>
            <w:div w:id="441802962">
              <w:marLeft w:val="0"/>
              <w:marRight w:val="0"/>
              <w:marTop w:val="0"/>
              <w:marBottom w:val="0"/>
              <w:divBdr>
                <w:top w:val="none" w:sz="0" w:space="0" w:color="auto"/>
                <w:left w:val="none" w:sz="0" w:space="0" w:color="auto"/>
                <w:bottom w:val="none" w:sz="0" w:space="0" w:color="auto"/>
                <w:right w:val="none" w:sz="0" w:space="0" w:color="auto"/>
              </w:divBdr>
            </w:div>
          </w:divsChild>
        </w:div>
        <w:div w:id="2083676425">
          <w:marLeft w:val="0"/>
          <w:marRight w:val="0"/>
          <w:marTop w:val="0"/>
          <w:marBottom w:val="0"/>
          <w:divBdr>
            <w:top w:val="none" w:sz="0" w:space="0" w:color="auto"/>
            <w:left w:val="none" w:sz="0" w:space="0" w:color="auto"/>
            <w:bottom w:val="none" w:sz="0" w:space="0" w:color="auto"/>
            <w:right w:val="none" w:sz="0" w:space="0" w:color="auto"/>
          </w:divBdr>
          <w:divsChild>
            <w:div w:id="342711906">
              <w:marLeft w:val="0"/>
              <w:marRight w:val="0"/>
              <w:marTop w:val="0"/>
              <w:marBottom w:val="0"/>
              <w:divBdr>
                <w:top w:val="none" w:sz="0" w:space="0" w:color="auto"/>
                <w:left w:val="none" w:sz="0" w:space="0" w:color="auto"/>
                <w:bottom w:val="none" w:sz="0" w:space="0" w:color="auto"/>
                <w:right w:val="none" w:sz="0" w:space="0" w:color="auto"/>
              </w:divBdr>
            </w:div>
          </w:divsChild>
        </w:div>
        <w:div w:id="2128887788">
          <w:marLeft w:val="0"/>
          <w:marRight w:val="0"/>
          <w:marTop w:val="0"/>
          <w:marBottom w:val="0"/>
          <w:divBdr>
            <w:top w:val="none" w:sz="0" w:space="0" w:color="auto"/>
            <w:left w:val="none" w:sz="0" w:space="0" w:color="auto"/>
            <w:bottom w:val="none" w:sz="0" w:space="0" w:color="auto"/>
            <w:right w:val="none" w:sz="0" w:space="0" w:color="auto"/>
          </w:divBdr>
          <w:divsChild>
            <w:div w:id="186313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77832300">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184541">
      <w:bodyDiv w:val="1"/>
      <w:marLeft w:val="0"/>
      <w:marRight w:val="0"/>
      <w:marTop w:val="0"/>
      <w:marBottom w:val="0"/>
      <w:divBdr>
        <w:top w:val="none" w:sz="0" w:space="0" w:color="auto"/>
        <w:left w:val="none" w:sz="0" w:space="0" w:color="auto"/>
        <w:bottom w:val="none" w:sz="0" w:space="0" w:color="auto"/>
        <w:right w:val="none" w:sz="0" w:space="0" w:color="auto"/>
      </w:divBdr>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496272E6-B146-4519-9B50-AE741D4D0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984D99-16E0-4692-A1C3-3D45870D4091}">
  <ds:schemaRefs>
    <ds:schemaRef ds:uri="http://schemas.openxmlformats.org/package/2006/metadata/core-properties"/>
    <ds:schemaRef ds:uri="http://purl.org/dc/elements/1.1/"/>
    <ds:schemaRef ds:uri="http://schemas.microsoft.com/office/infopath/2007/PartnerControls"/>
    <ds:schemaRef ds:uri="http://purl.org/dc/terms/"/>
    <ds:schemaRef ds:uri="55d979c1-5249-49b1-9d13-48b77d465bf7"/>
    <ds:schemaRef ds:uri="http://schemas.microsoft.com/office/2006/documentManagement/types"/>
    <ds:schemaRef ds:uri="fed6b700-95b7-4bcd-9420-776afa9d3ef7"/>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1487</Words>
  <Characters>7081</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2010-11-11T04:00:00Z</cp:lastPrinted>
  <dcterms:created xsi:type="dcterms:W3CDTF">2025-11-07T21:24:00Z</dcterms:created>
  <dcterms:modified xsi:type="dcterms:W3CDTF">2025-11-07T22:15:00Z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